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D32" w:rsidRPr="00710067" w:rsidRDefault="00E10D32"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São Paulo, 30 de junho de </w:t>
      </w:r>
      <w:proofErr w:type="gramStart"/>
      <w:r w:rsidRPr="00710067">
        <w:rPr>
          <w:rFonts w:ascii="Georgia" w:hAnsi="Georgia" w:cs="Helv"/>
          <w:color w:val="000000"/>
          <w:sz w:val="20"/>
          <w:szCs w:val="20"/>
          <w:lang w:val="pt-BR"/>
        </w:rPr>
        <w:t>2013</w:t>
      </w:r>
      <w:proofErr w:type="gramEnd"/>
    </w:p>
    <w:p w:rsidR="00E10D32" w:rsidRPr="00710067" w:rsidRDefault="00E10D32" w:rsidP="00FC1164">
      <w:pPr>
        <w:autoSpaceDE w:val="0"/>
        <w:autoSpaceDN w:val="0"/>
        <w:adjustRightInd w:val="0"/>
        <w:spacing w:after="0" w:line="240" w:lineRule="auto"/>
        <w:rPr>
          <w:rFonts w:ascii="Georgia" w:hAnsi="Georgia" w:cs="Helv"/>
          <w:color w:val="000000"/>
          <w:sz w:val="20"/>
          <w:szCs w:val="20"/>
          <w:lang w:val="pt-BR"/>
        </w:rPr>
      </w:pPr>
    </w:p>
    <w:p w:rsidR="00E10D32" w:rsidRPr="00710067" w:rsidRDefault="00E10D32" w:rsidP="00FC1164">
      <w:pPr>
        <w:autoSpaceDE w:val="0"/>
        <w:autoSpaceDN w:val="0"/>
        <w:adjustRightInd w:val="0"/>
        <w:spacing w:after="0" w:line="240" w:lineRule="auto"/>
        <w:rPr>
          <w:rFonts w:ascii="Georgia" w:hAnsi="Georgia" w:cs="Helv"/>
          <w:color w:val="000000"/>
          <w:sz w:val="20"/>
          <w:szCs w:val="20"/>
          <w:lang w:val="pt-BR"/>
        </w:rPr>
      </w:pPr>
    </w:p>
    <w:p w:rsidR="00DB332A" w:rsidRPr="00710067" w:rsidRDefault="00DB332A"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À Agência Nacional de Aviação Civil – ANAC</w:t>
      </w:r>
    </w:p>
    <w:p w:rsidR="00DB332A" w:rsidRPr="00710067" w:rsidRDefault="00DB332A" w:rsidP="00FC1164">
      <w:pPr>
        <w:autoSpaceDE w:val="0"/>
        <w:autoSpaceDN w:val="0"/>
        <w:adjustRightInd w:val="0"/>
        <w:spacing w:after="0" w:line="240" w:lineRule="auto"/>
        <w:rPr>
          <w:rFonts w:ascii="Georgia" w:hAnsi="Georgia" w:cs="Helv"/>
          <w:color w:val="000000"/>
          <w:sz w:val="20"/>
          <w:szCs w:val="20"/>
          <w:lang w:val="pt-BR"/>
        </w:rPr>
      </w:pPr>
    </w:p>
    <w:p w:rsidR="00E10D32" w:rsidRPr="00710067" w:rsidRDefault="00E10D32" w:rsidP="00FC1164">
      <w:pPr>
        <w:autoSpaceDE w:val="0"/>
        <w:autoSpaceDN w:val="0"/>
        <w:adjustRightInd w:val="0"/>
        <w:spacing w:after="0" w:line="240" w:lineRule="auto"/>
        <w:rPr>
          <w:rFonts w:ascii="Georgia" w:hAnsi="Georgia" w:cs="Helv"/>
          <w:color w:val="000000"/>
          <w:sz w:val="20"/>
          <w:szCs w:val="20"/>
          <w:lang w:val="pt-BR"/>
        </w:rPr>
      </w:pPr>
    </w:p>
    <w:p w:rsidR="00DB332A" w:rsidRPr="00710067" w:rsidRDefault="00DB332A"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Prezados Senhores,</w:t>
      </w:r>
    </w:p>
    <w:p w:rsidR="00DB332A" w:rsidRPr="00710067" w:rsidRDefault="00DB332A" w:rsidP="00FC1164">
      <w:pPr>
        <w:autoSpaceDE w:val="0"/>
        <w:autoSpaceDN w:val="0"/>
        <w:adjustRightInd w:val="0"/>
        <w:spacing w:after="0" w:line="240" w:lineRule="auto"/>
        <w:rPr>
          <w:rFonts w:ascii="Georgia" w:hAnsi="Georgia" w:cs="Helv"/>
          <w:color w:val="000000"/>
          <w:sz w:val="20"/>
          <w:szCs w:val="20"/>
          <w:lang w:val="pt-BR"/>
        </w:rPr>
      </w:pPr>
    </w:p>
    <w:p w:rsidR="00DB332A" w:rsidRPr="00710067" w:rsidRDefault="00DB332A"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Em referência à exigência de envio do </w:t>
      </w:r>
      <w:r w:rsidR="00E10D32" w:rsidRPr="00710067">
        <w:rPr>
          <w:rFonts w:ascii="Georgia" w:hAnsi="Georgia" w:cs="Helv"/>
          <w:color w:val="000000"/>
          <w:sz w:val="20"/>
          <w:szCs w:val="20"/>
          <w:lang w:val="pt-BR"/>
        </w:rPr>
        <w:t>“</w:t>
      </w:r>
      <w:r w:rsidRPr="00710067">
        <w:rPr>
          <w:rFonts w:ascii="Georgia" w:hAnsi="Georgia" w:cs="Helv"/>
          <w:color w:val="000000"/>
          <w:sz w:val="20"/>
          <w:szCs w:val="20"/>
          <w:lang w:val="pt-BR"/>
        </w:rPr>
        <w:t xml:space="preserve">anexo 23 </w:t>
      </w:r>
      <w:r w:rsidR="00E10D32" w:rsidRPr="00710067">
        <w:rPr>
          <w:rFonts w:ascii="Georgia" w:hAnsi="Georgia" w:cs="Helv"/>
          <w:color w:val="000000"/>
          <w:sz w:val="20"/>
          <w:szCs w:val="20"/>
          <w:lang w:val="pt-BR"/>
        </w:rPr>
        <w:t>–</w:t>
      </w:r>
      <w:r w:rsidRPr="00710067">
        <w:rPr>
          <w:rFonts w:ascii="Georgia" w:hAnsi="Georgia" w:cs="Helv"/>
          <w:color w:val="000000"/>
          <w:sz w:val="20"/>
          <w:szCs w:val="20"/>
          <w:lang w:val="pt-BR"/>
        </w:rPr>
        <w:t xml:space="preserve"> </w:t>
      </w:r>
      <w:r w:rsidR="00E10D32" w:rsidRPr="00710067">
        <w:rPr>
          <w:rFonts w:ascii="Georgia" w:hAnsi="Georgia" w:cs="Helv"/>
          <w:color w:val="000000"/>
          <w:sz w:val="20"/>
          <w:szCs w:val="20"/>
          <w:lang w:val="pt-BR"/>
        </w:rPr>
        <w:t>Modelo de Carta Subscrita por Auditoria Independente – Declarando Adequabilidade do Plano de Negócios” fazemos nossas consideraçõ</w:t>
      </w:r>
      <w:r w:rsidR="00D263FD" w:rsidRPr="00710067">
        <w:rPr>
          <w:rFonts w:ascii="Georgia" w:hAnsi="Georgia" w:cs="Helv"/>
          <w:color w:val="000000"/>
          <w:sz w:val="20"/>
          <w:szCs w:val="20"/>
          <w:lang w:val="pt-BR"/>
        </w:rPr>
        <w:t>es quanto à forma</w:t>
      </w:r>
      <w:r w:rsidR="00E10D32" w:rsidRPr="00710067">
        <w:rPr>
          <w:rFonts w:ascii="Georgia" w:hAnsi="Georgia" w:cs="Helv"/>
          <w:color w:val="000000"/>
          <w:sz w:val="20"/>
          <w:szCs w:val="20"/>
          <w:lang w:val="pt-BR"/>
        </w:rPr>
        <w:t xml:space="preserve"> de apresentação desta carta e seu conteúdo.</w:t>
      </w:r>
    </w:p>
    <w:p w:rsidR="00DB332A" w:rsidRPr="00710067" w:rsidRDefault="00DB332A" w:rsidP="00FC1164">
      <w:pPr>
        <w:autoSpaceDE w:val="0"/>
        <w:autoSpaceDN w:val="0"/>
        <w:adjustRightInd w:val="0"/>
        <w:spacing w:after="0" w:line="240" w:lineRule="auto"/>
        <w:rPr>
          <w:rFonts w:ascii="Georgia" w:hAnsi="Georgia" w:cs="Helv"/>
          <w:color w:val="000000"/>
          <w:sz w:val="20"/>
          <w:szCs w:val="20"/>
          <w:lang w:val="pt-BR"/>
        </w:rPr>
      </w:pP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A norma de auditoria que trata do tema de projeções é a norma internacional ISAE 3400 - Auditoria de Informações Prospectivas. Segundo a norma ISAE 3400, informações financeiras prospectivas representam informações financeiras com base em </w:t>
      </w:r>
      <w:r w:rsidR="00D263FD" w:rsidRPr="00710067">
        <w:rPr>
          <w:rFonts w:ascii="Georgia" w:hAnsi="Georgia" w:cs="Helv"/>
          <w:color w:val="000000"/>
          <w:sz w:val="20"/>
          <w:szCs w:val="20"/>
          <w:lang w:val="pt-BR"/>
        </w:rPr>
        <w:t>premissas</w:t>
      </w:r>
      <w:r w:rsidRPr="00710067">
        <w:rPr>
          <w:rFonts w:ascii="Georgia" w:hAnsi="Georgia" w:cs="Helv"/>
          <w:color w:val="000000"/>
          <w:sz w:val="20"/>
          <w:szCs w:val="20"/>
          <w:lang w:val="pt-BR"/>
        </w:rPr>
        <w:t xml:space="preserve"> sobre eventos que podem ocorrer no futuro e possíveis ações de uma entidade. Em função de sua natureza, é altamente subjetiva e sua preparação exige o exercício de considerável julgamento. Informações financeiras prospectivas podem estar na forma de previsão, projeção ou uma combinação de ambos, por exemplo, uma previsão de um ano mais uma projeção de</w:t>
      </w:r>
      <w:r w:rsidR="00E10D32" w:rsidRPr="00710067">
        <w:rPr>
          <w:rFonts w:ascii="Georgia" w:hAnsi="Georgia" w:cs="Helv"/>
          <w:color w:val="000000"/>
          <w:sz w:val="20"/>
          <w:szCs w:val="20"/>
          <w:lang w:val="pt-BR"/>
        </w:rPr>
        <w:t xml:space="preserve"> mais cinco anos</w:t>
      </w:r>
      <w:r w:rsidRPr="00710067">
        <w:rPr>
          <w:rFonts w:ascii="Georgia" w:hAnsi="Georgia" w:cs="Helv"/>
          <w:color w:val="000000"/>
          <w:sz w:val="20"/>
          <w:szCs w:val="20"/>
          <w:lang w:val="pt-BR"/>
        </w:rPr>
        <w:t>.</w:t>
      </w:r>
      <w:r w:rsidRPr="00710067">
        <w:rPr>
          <w:rFonts w:ascii="Georgia" w:hAnsi="Georgia" w:cs="Helv"/>
          <w:color w:val="000000"/>
          <w:sz w:val="20"/>
          <w:szCs w:val="20"/>
          <w:lang w:val="pt-BR"/>
        </w:rPr>
        <w:br/>
      </w:r>
      <w:r w:rsidRPr="00710067">
        <w:rPr>
          <w:rFonts w:ascii="Georgia" w:hAnsi="Georgia" w:cs="Helv"/>
          <w:color w:val="000000"/>
          <w:sz w:val="20"/>
          <w:szCs w:val="20"/>
          <w:lang w:val="pt-BR"/>
        </w:rPr>
        <w:br/>
      </w:r>
      <w:r w:rsidR="00E10D32" w:rsidRPr="00710067">
        <w:rPr>
          <w:rFonts w:ascii="Georgia" w:hAnsi="Georgia" w:cs="Helv"/>
          <w:color w:val="000000"/>
          <w:sz w:val="20"/>
          <w:szCs w:val="20"/>
          <w:lang w:val="pt-BR"/>
        </w:rPr>
        <w:t>Neste contexto, p</w:t>
      </w:r>
      <w:r w:rsidRPr="00710067">
        <w:rPr>
          <w:rFonts w:ascii="Georgia" w:hAnsi="Georgia" w:cs="Helv"/>
          <w:color w:val="000000"/>
          <w:sz w:val="20"/>
          <w:szCs w:val="20"/>
          <w:lang w:val="pt-BR"/>
        </w:rPr>
        <w:t>revisão significa informação financeira prospectiva pr</w:t>
      </w:r>
      <w:r w:rsidR="00D263FD" w:rsidRPr="00710067">
        <w:rPr>
          <w:rFonts w:ascii="Georgia" w:hAnsi="Georgia" w:cs="Helv"/>
          <w:color w:val="000000"/>
          <w:sz w:val="20"/>
          <w:szCs w:val="20"/>
          <w:lang w:val="pt-BR"/>
        </w:rPr>
        <w:t xml:space="preserve">eparada com base em </w:t>
      </w:r>
      <w:r w:rsidR="00E10D32" w:rsidRPr="00710067">
        <w:rPr>
          <w:rFonts w:ascii="Georgia" w:hAnsi="Georgia" w:cs="Helv"/>
          <w:color w:val="000000"/>
          <w:sz w:val="20"/>
          <w:szCs w:val="20"/>
          <w:lang w:val="pt-BR"/>
        </w:rPr>
        <w:t>premissas relativa</w:t>
      </w:r>
      <w:r w:rsidRPr="00710067">
        <w:rPr>
          <w:rFonts w:ascii="Georgia" w:hAnsi="Georgia" w:cs="Helv"/>
          <w:color w:val="000000"/>
          <w:sz w:val="20"/>
          <w:szCs w:val="20"/>
          <w:lang w:val="pt-BR"/>
        </w:rPr>
        <w:t>s a eventos futuros que a administraçã</w:t>
      </w:r>
      <w:r w:rsidR="00E10D32" w:rsidRPr="00710067">
        <w:rPr>
          <w:rFonts w:ascii="Georgia" w:hAnsi="Georgia" w:cs="Helv"/>
          <w:color w:val="000000"/>
          <w:sz w:val="20"/>
          <w:szCs w:val="20"/>
          <w:lang w:val="pt-BR"/>
        </w:rPr>
        <w:t>o espera acontecer e incorpora temas de desempenho de sua</w:t>
      </w:r>
      <w:r w:rsidRPr="00710067">
        <w:rPr>
          <w:rFonts w:ascii="Georgia" w:hAnsi="Georgia" w:cs="Helv"/>
          <w:color w:val="000000"/>
          <w:sz w:val="20"/>
          <w:szCs w:val="20"/>
          <w:lang w:val="pt-BR"/>
        </w:rPr>
        <w:t xml:space="preserve"> gestão e/ou ações que espera tomar, tudo na data em que a informação está sendo preparada (suposições com base em melho</w:t>
      </w:r>
      <w:r w:rsidR="00E10D32" w:rsidRPr="00710067">
        <w:rPr>
          <w:rFonts w:ascii="Georgia" w:hAnsi="Georgia" w:cs="Helv"/>
          <w:color w:val="000000"/>
          <w:sz w:val="20"/>
          <w:szCs w:val="20"/>
          <w:lang w:val="pt-BR"/>
        </w:rPr>
        <w:t>res estimativas)</w:t>
      </w:r>
      <w:r w:rsidRPr="00710067">
        <w:rPr>
          <w:rFonts w:ascii="Georgia" w:hAnsi="Georgia" w:cs="Helv"/>
          <w:color w:val="000000"/>
          <w:sz w:val="20"/>
          <w:szCs w:val="20"/>
          <w:lang w:val="pt-BR"/>
        </w:rPr>
        <w:t>.</w:t>
      </w:r>
      <w:r w:rsidRPr="00710067">
        <w:rPr>
          <w:rFonts w:ascii="Georgia" w:hAnsi="Georgia" w:cs="Helv"/>
          <w:color w:val="000000"/>
          <w:sz w:val="20"/>
          <w:szCs w:val="20"/>
          <w:lang w:val="pt-BR"/>
        </w:rPr>
        <w:br/>
      </w:r>
      <w:r w:rsidRPr="00710067">
        <w:rPr>
          <w:rFonts w:ascii="Georgia" w:hAnsi="Georgia" w:cs="Helv"/>
          <w:color w:val="000000"/>
          <w:sz w:val="20"/>
          <w:szCs w:val="20"/>
          <w:lang w:val="pt-BR"/>
        </w:rPr>
        <w:br/>
      </w:r>
      <w:r w:rsidR="00E10D32" w:rsidRPr="00710067">
        <w:rPr>
          <w:rFonts w:ascii="Georgia" w:hAnsi="Georgia" w:cs="Helv"/>
          <w:color w:val="000000"/>
          <w:sz w:val="20"/>
          <w:szCs w:val="20"/>
          <w:lang w:val="pt-BR"/>
        </w:rPr>
        <w:t>Ainda, p</w:t>
      </w:r>
      <w:r w:rsidRPr="00710067">
        <w:rPr>
          <w:rFonts w:ascii="Georgia" w:hAnsi="Georgia" w:cs="Helv"/>
          <w:color w:val="000000"/>
          <w:sz w:val="20"/>
          <w:szCs w:val="20"/>
          <w:lang w:val="pt-BR"/>
        </w:rPr>
        <w:t>rojeção significa informação financeira prospectiva elaborada a partir de: (a) suposições / hipóteses sobre futuros eventos e ações de gestão que não estão necessariamente presentes, como no caso de entidades que estão em f</w:t>
      </w:r>
      <w:r w:rsidR="00D263FD" w:rsidRPr="00710067">
        <w:rPr>
          <w:rFonts w:ascii="Georgia" w:hAnsi="Georgia" w:cs="Helv"/>
          <w:color w:val="000000"/>
          <w:sz w:val="20"/>
          <w:szCs w:val="20"/>
          <w:lang w:val="pt-BR"/>
        </w:rPr>
        <w:t>ase de inicial (</w:t>
      </w:r>
      <w:proofErr w:type="spellStart"/>
      <w:r w:rsidR="00D263FD" w:rsidRPr="00710067">
        <w:rPr>
          <w:rFonts w:ascii="Georgia" w:hAnsi="Georgia" w:cs="Helv"/>
          <w:color w:val="000000"/>
          <w:sz w:val="20"/>
          <w:szCs w:val="20"/>
          <w:lang w:val="pt-BR"/>
        </w:rPr>
        <w:t>start-up</w:t>
      </w:r>
      <w:proofErr w:type="spellEnd"/>
      <w:r w:rsidR="00D263FD" w:rsidRPr="00710067">
        <w:rPr>
          <w:rFonts w:ascii="Georgia" w:hAnsi="Georgia" w:cs="Helv"/>
          <w:color w:val="000000"/>
          <w:sz w:val="20"/>
          <w:szCs w:val="20"/>
          <w:lang w:val="pt-BR"/>
        </w:rPr>
        <w:t xml:space="preserve">); (b) </w:t>
      </w:r>
      <w:r w:rsidRPr="00710067">
        <w:rPr>
          <w:rFonts w:ascii="Georgia" w:hAnsi="Georgia" w:cs="Helv"/>
          <w:color w:val="000000"/>
          <w:sz w:val="20"/>
          <w:szCs w:val="20"/>
          <w:lang w:val="pt-BR"/>
        </w:rPr>
        <w:t>ou</w:t>
      </w:r>
      <w:proofErr w:type="gramStart"/>
      <w:r w:rsidRPr="00710067">
        <w:rPr>
          <w:rFonts w:ascii="Georgia" w:hAnsi="Georgia" w:cs="Helv"/>
          <w:color w:val="000000"/>
          <w:sz w:val="20"/>
          <w:szCs w:val="20"/>
          <w:lang w:val="pt-BR"/>
        </w:rPr>
        <w:t xml:space="preserve">  </w:t>
      </w:r>
      <w:proofErr w:type="gramEnd"/>
      <w:r w:rsidRPr="00710067">
        <w:rPr>
          <w:rFonts w:ascii="Georgia" w:hAnsi="Georgia" w:cs="Helv"/>
          <w:color w:val="000000"/>
          <w:sz w:val="20"/>
          <w:szCs w:val="20"/>
          <w:lang w:val="pt-BR"/>
        </w:rPr>
        <w:t>uma mistura de melhores estimativas e suposições hipotéticas.</w:t>
      </w: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Nesse cenário, um auditor diferencia sua conclusão quando expressa uma opinião sobre demonstrações financeiras históricas (que contêm eventos passados, por exemplo, uma demonstraçã</w:t>
      </w:r>
      <w:r w:rsidR="00E10D32" w:rsidRPr="00710067">
        <w:rPr>
          <w:rFonts w:ascii="Georgia" w:hAnsi="Georgia" w:cs="Helv"/>
          <w:color w:val="000000"/>
          <w:sz w:val="20"/>
          <w:szCs w:val="20"/>
          <w:lang w:val="pt-BR"/>
        </w:rPr>
        <w:t>o financeira</w:t>
      </w:r>
      <w:r w:rsidRPr="00710067">
        <w:rPr>
          <w:rFonts w:ascii="Georgia" w:hAnsi="Georgia" w:cs="Helv"/>
          <w:color w:val="000000"/>
          <w:sz w:val="20"/>
          <w:szCs w:val="20"/>
          <w:lang w:val="pt-BR"/>
        </w:rPr>
        <w:t xml:space="preserve"> de um período de 12 meses que findou em 31 de dezembro de um determinado ano) das opiniões sobre informações prospectivas.  </w:t>
      </w: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No caso de informações históricas, o auditor utiliza a norma brasileira e internacional de auditoria (respectivamente a NBC TA 700 e ISA 700) e emite uma opinião sobre se as demonstrações financeiras estão adequadamente apresentadas, em todos os aspectos relevantes, de acordo com um conjunto de regras, como as práticas contábeis adotadas no Brasil.</w:t>
      </w: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No caso de informações prospectivas, o auditor utiliza a norma internacional de auditoria (ISAE 3400) e opina sobre se a informação financeira prospectiva foi adequadamente compilada, em todos os aspectos relevantes, com base em </w:t>
      </w:r>
      <w:r w:rsidR="00D263FD" w:rsidRPr="00710067">
        <w:rPr>
          <w:rFonts w:ascii="Georgia" w:hAnsi="Georgia" w:cs="Helv"/>
          <w:color w:val="000000"/>
          <w:sz w:val="20"/>
          <w:szCs w:val="20"/>
          <w:lang w:val="pt-BR"/>
        </w:rPr>
        <w:t>premissas definida</w:t>
      </w:r>
      <w:r w:rsidRPr="00710067">
        <w:rPr>
          <w:rFonts w:ascii="Georgia" w:hAnsi="Georgia" w:cs="Helv"/>
          <w:color w:val="000000"/>
          <w:sz w:val="20"/>
          <w:szCs w:val="20"/>
          <w:lang w:val="pt-BR"/>
        </w:rPr>
        <w:t xml:space="preserve">s em uma nota explicativa que acompanha a informação financeira e se a base contábil utilizada para a preparação das informações financeiras, que considera os aspectos e normas tributárias vigentes, é consistente com as práticas contábeis adotadas no Brasil. </w:t>
      </w:r>
    </w:p>
    <w:p w:rsidR="00FC1164" w:rsidRPr="00710067" w:rsidRDefault="00FC1164" w:rsidP="00FC1164">
      <w:pPr>
        <w:autoSpaceDE w:val="0"/>
        <w:autoSpaceDN w:val="0"/>
        <w:adjustRightInd w:val="0"/>
        <w:spacing w:after="0" w:line="240" w:lineRule="auto"/>
        <w:rPr>
          <w:rFonts w:ascii="Georgia" w:hAnsi="Georgia" w:cs="Helv"/>
          <w:color w:val="000000"/>
          <w:sz w:val="20"/>
          <w:szCs w:val="20"/>
          <w:lang w:val="pt-BR"/>
        </w:rPr>
      </w:pPr>
    </w:p>
    <w:p w:rsidR="00E10D32" w:rsidRPr="00710067" w:rsidRDefault="00E10D32" w:rsidP="00FC1164">
      <w:pPr>
        <w:autoSpaceDE w:val="0"/>
        <w:autoSpaceDN w:val="0"/>
        <w:adjustRightInd w:val="0"/>
        <w:spacing w:after="0" w:line="240" w:lineRule="auto"/>
        <w:rPr>
          <w:rFonts w:ascii="Georgia" w:hAnsi="Georgia" w:cs="Helv"/>
          <w:color w:val="000000"/>
          <w:sz w:val="20"/>
          <w:szCs w:val="20"/>
          <w:lang w:val="pt-BR"/>
        </w:rPr>
      </w:pPr>
      <w:r w:rsidRPr="00710067">
        <w:rPr>
          <w:rFonts w:ascii="Georgia" w:hAnsi="Georgia" w:cs="Helv"/>
          <w:color w:val="000000"/>
          <w:sz w:val="20"/>
          <w:szCs w:val="20"/>
          <w:lang w:val="pt-BR"/>
        </w:rPr>
        <w:t>Desta forma temos duas principais observações a fazer: (i) a primeira relacionada com o escopo pelo qual o auditor independente pode se manifestar quanto a informações financeiras prospectivas; e (</w:t>
      </w:r>
      <w:proofErr w:type="gramStart"/>
      <w:r w:rsidRPr="00710067">
        <w:rPr>
          <w:rFonts w:ascii="Georgia" w:hAnsi="Georgia" w:cs="Helv"/>
          <w:color w:val="000000"/>
          <w:sz w:val="20"/>
          <w:szCs w:val="20"/>
          <w:lang w:val="pt-BR"/>
        </w:rPr>
        <w:t>ii</w:t>
      </w:r>
      <w:proofErr w:type="gramEnd"/>
      <w:r w:rsidRPr="00710067">
        <w:rPr>
          <w:rFonts w:ascii="Georgia" w:hAnsi="Georgia" w:cs="Helv"/>
          <w:color w:val="000000"/>
          <w:sz w:val="20"/>
          <w:szCs w:val="20"/>
          <w:lang w:val="pt-BR"/>
        </w:rPr>
        <w:t>) a segunda relacionada à apresentação da carta.</w:t>
      </w:r>
    </w:p>
    <w:p w:rsidR="00E10D32" w:rsidRPr="00710067" w:rsidRDefault="00E10D32" w:rsidP="00FC1164">
      <w:pPr>
        <w:autoSpaceDE w:val="0"/>
        <w:autoSpaceDN w:val="0"/>
        <w:adjustRightInd w:val="0"/>
        <w:spacing w:after="0" w:line="240" w:lineRule="auto"/>
        <w:rPr>
          <w:rFonts w:ascii="Georgia" w:hAnsi="Georgia" w:cs="Helv"/>
          <w:color w:val="000000"/>
          <w:sz w:val="20"/>
          <w:szCs w:val="20"/>
          <w:lang w:val="pt-BR"/>
        </w:rPr>
      </w:pPr>
    </w:p>
    <w:p w:rsidR="00D263FD" w:rsidRPr="00710067" w:rsidRDefault="00D263FD"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(i)</w:t>
      </w:r>
      <w:proofErr w:type="gramStart"/>
      <w:r w:rsidRPr="00710067">
        <w:rPr>
          <w:rFonts w:ascii="Georgia" w:hAnsi="Georgia" w:cs="Helv"/>
          <w:color w:val="000000"/>
          <w:sz w:val="20"/>
          <w:szCs w:val="20"/>
          <w:lang w:val="pt-BR"/>
        </w:rPr>
        <w:t xml:space="preserve">  </w:t>
      </w:r>
      <w:proofErr w:type="gramEnd"/>
      <w:r w:rsidRPr="00710067">
        <w:rPr>
          <w:rFonts w:ascii="Georgia" w:hAnsi="Georgia" w:cs="Helv"/>
          <w:color w:val="000000"/>
          <w:sz w:val="20"/>
          <w:szCs w:val="20"/>
          <w:u w:val="single"/>
          <w:lang w:val="pt-BR"/>
        </w:rPr>
        <w:t>Escopo pelo qual o auditor independente pode se manifestar quanto a informações financeiras prospectivas</w:t>
      </w:r>
    </w:p>
    <w:p w:rsidR="00D263FD" w:rsidRPr="00710067" w:rsidRDefault="00D263FD"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No anexo 23, Modelo de Carta Subscrita por Auditoria Independente – Declarando Adequabilidade do Plano de Negócios, a conclusão se dá pela seguinte exposição:</w:t>
      </w:r>
    </w:p>
    <w:p w:rsidR="00D263FD" w:rsidRPr="00710067" w:rsidRDefault="00D263FD" w:rsidP="00D263FD">
      <w:pPr>
        <w:pStyle w:val="BodyText"/>
        <w:ind w:left="1276"/>
        <w:rPr>
          <w:rFonts w:ascii="Georgia" w:hAnsi="Georgia" w:cs="Helv"/>
          <w:i/>
          <w:color w:val="000000"/>
          <w:sz w:val="20"/>
          <w:szCs w:val="20"/>
          <w:lang w:val="pt-BR"/>
        </w:rPr>
      </w:pPr>
      <w:proofErr w:type="gramStart"/>
      <w:r w:rsidRPr="00710067">
        <w:rPr>
          <w:rFonts w:ascii="Georgia" w:hAnsi="Georgia" w:cs="Helv"/>
          <w:i/>
          <w:color w:val="000000"/>
          <w:sz w:val="20"/>
          <w:szCs w:val="20"/>
          <w:lang w:val="pt-BR"/>
        </w:rPr>
        <w:t>“...</w:t>
      </w:r>
      <w:proofErr w:type="gramEnd"/>
      <w:r w:rsidRPr="00710067">
        <w:rPr>
          <w:rFonts w:ascii="Georgia" w:hAnsi="Georgia" w:cs="Helv"/>
          <w:i/>
          <w:color w:val="000000"/>
          <w:sz w:val="20"/>
          <w:szCs w:val="20"/>
          <w:lang w:val="pt-BR"/>
        </w:rPr>
        <w:t>a Auditoria independente, atesta, em relação ao Plano</w:t>
      </w:r>
      <w:r w:rsidRPr="00710067">
        <w:rPr>
          <w:rFonts w:ascii="Georgia" w:hAnsi="Georgia" w:cs="Helv"/>
          <w:i/>
          <w:color w:val="000000"/>
          <w:sz w:val="20"/>
          <w:szCs w:val="20"/>
          <w:lang w:val="pt-BR"/>
        </w:rPr>
        <w:t xml:space="preserve"> </w:t>
      </w:r>
      <w:r w:rsidRPr="00710067">
        <w:rPr>
          <w:rFonts w:ascii="Georgia" w:hAnsi="Georgia" w:cs="Helv"/>
          <w:i/>
          <w:color w:val="000000"/>
          <w:sz w:val="20"/>
          <w:szCs w:val="20"/>
          <w:lang w:val="pt-BR"/>
        </w:rPr>
        <w:t>de Negócios da Proponente:</w:t>
      </w:r>
    </w:p>
    <w:p w:rsidR="00D263FD" w:rsidRPr="00710067" w:rsidRDefault="00D263FD" w:rsidP="00D263FD">
      <w:pPr>
        <w:pStyle w:val="BodyText"/>
        <w:ind w:left="1276"/>
        <w:rPr>
          <w:rFonts w:ascii="Georgia" w:hAnsi="Georgia" w:cs="Helv"/>
          <w:i/>
          <w:color w:val="000000"/>
          <w:sz w:val="20"/>
          <w:szCs w:val="20"/>
          <w:lang w:val="pt-BR"/>
        </w:rPr>
      </w:pPr>
      <w:r w:rsidRPr="00710067">
        <w:rPr>
          <w:rFonts w:ascii="Georgia" w:hAnsi="Georgia" w:cs="Helv"/>
          <w:i/>
          <w:color w:val="000000"/>
          <w:sz w:val="20"/>
          <w:szCs w:val="20"/>
          <w:lang w:val="pt-BR"/>
        </w:rPr>
        <w:lastRenderedPageBreak/>
        <w:t>(a</w:t>
      </w:r>
      <w:r w:rsidRPr="00710067">
        <w:rPr>
          <w:rFonts w:ascii="Georgia" w:hAnsi="Georgia" w:cs="Helv"/>
          <w:i/>
          <w:color w:val="000000"/>
          <w:sz w:val="20"/>
          <w:szCs w:val="20"/>
          <w:lang w:val="pt-BR"/>
        </w:rPr>
        <w:t>) a adequabilidade, desde que mantidas todas as premissas e parâmetros nele adotados;</w:t>
      </w:r>
    </w:p>
    <w:p w:rsidR="00D263FD" w:rsidRPr="00710067" w:rsidRDefault="00D263FD" w:rsidP="00D263FD">
      <w:pPr>
        <w:pStyle w:val="BodyText"/>
        <w:ind w:left="1276"/>
        <w:rPr>
          <w:rFonts w:ascii="Georgia" w:hAnsi="Georgia" w:cs="Helv"/>
          <w:i/>
          <w:color w:val="000000"/>
          <w:sz w:val="20"/>
          <w:szCs w:val="20"/>
          <w:lang w:val="pt-BR"/>
        </w:rPr>
      </w:pPr>
      <w:r w:rsidRPr="00710067">
        <w:rPr>
          <w:rFonts w:ascii="Georgia" w:hAnsi="Georgia" w:cs="Helv"/>
          <w:i/>
          <w:color w:val="000000"/>
          <w:sz w:val="20"/>
          <w:szCs w:val="20"/>
          <w:lang w:val="pt-BR"/>
        </w:rPr>
        <w:t>(b</w:t>
      </w:r>
      <w:r w:rsidRPr="00710067">
        <w:rPr>
          <w:rFonts w:ascii="Georgia" w:hAnsi="Georgia" w:cs="Helv"/>
          <w:i/>
          <w:color w:val="000000"/>
          <w:sz w:val="20"/>
          <w:szCs w:val="20"/>
          <w:lang w:val="pt-BR"/>
        </w:rPr>
        <w:t xml:space="preserve">) a coerência das demonstrações e dados contábeis e tributários apresentados; </w:t>
      </w:r>
      <w:proofErr w:type="gramStart"/>
      <w:r w:rsidRPr="00710067">
        <w:rPr>
          <w:rFonts w:ascii="Georgia" w:hAnsi="Georgia" w:cs="Helv"/>
          <w:i/>
          <w:color w:val="000000"/>
          <w:sz w:val="20"/>
          <w:szCs w:val="20"/>
          <w:lang w:val="pt-BR"/>
        </w:rPr>
        <w:t>e</w:t>
      </w:r>
      <w:proofErr w:type="gramEnd"/>
    </w:p>
    <w:p w:rsidR="00D263FD" w:rsidRPr="00710067" w:rsidRDefault="00D263FD" w:rsidP="00D263FD">
      <w:pPr>
        <w:pStyle w:val="BodyText"/>
        <w:ind w:left="1276"/>
        <w:rPr>
          <w:rFonts w:ascii="Georgia" w:hAnsi="Georgia" w:cs="Helv"/>
          <w:i/>
          <w:color w:val="000000"/>
          <w:sz w:val="20"/>
          <w:szCs w:val="20"/>
          <w:lang w:val="pt-BR"/>
        </w:rPr>
      </w:pPr>
      <w:r w:rsidRPr="00710067">
        <w:rPr>
          <w:rFonts w:ascii="Georgia" w:hAnsi="Georgia" w:cs="Helv"/>
          <w:i/>
          <w:color w:val="000000"/>
          <w:sz w:val="20"/>
          <w:szCs w:val="20"/>
          <w:lang w:val="pt-BR"/>
        </w:rPr>
        <w:t>(</w:t>
      </w:r>
      <w:proofErr w:type="gramStart"/>
      <w:r w:rsidRPr="00710067">
        <w:rPr>
          <w:rFonts w:ascii="Georgia" w:hAnsi="Georgia" w:cs="Helv"/>
          <w:i/>
          <w:color w:val="000000"/>
          <w:sz w:val="20"/>
          <w:szCs w:val="20"/>
          <w:lang w:val="pt-BR"/>
        </w:rPr>
        <w:t>c</w:t>
      </w:r>
      <w:r w:rsidRPr="00710067">
        <w:rPr>
          <w:rFonts w:ascii="Georgia" w:hAnsi="Georgia" w:cs="Helv"/>
          <w:i/>
          <w:color w:val="000000"/>
          <w:sz w:val="20"/>
          <w:szCs w:val="20"/>
          <w:lang w:val="pt-BR"/>
        </w:rPr>
        <w:t>) a obediência destas demonstrações e dados contábeis e tributários à legislação nacional</w:t>
      </w:r>
      <w:r w:rsidRPr="00710067">
        <w:rPr>
          <w:rFonts w:ascii="Georgia" w:hAnsi="Georgia" w:cs="Helv"/>
          <w:i/>
          <w:color w:val="000000"/>
          <w:sz w:val="20"/>
          <w:szCs w:val="20"/>
          <w:lang w:val="pt-BR"/>
        </w:rPr>
        <w:t xml:space="preserve"> </w:t>
      </w:r>
      <w:r w:rsidRPr="00710067">
        <w:rPr>
          <w:rFonts w:ascii="Georgia" w:hAnsi="Georgia" w:cs="Helv"/>
          <w:i/>
          <w:color w:val="000000"/>
          <w:sz w:val="20"/>
          <w:szCs w:val="20"/>
          <w:lang w:val="pt-BR"/>
        </w:rPr>
        <w:t>vigente.</w:t>
      </w:r>
      <w:r w:rsidRPr="00710067">
        <w:rPr>
          <w:rFonts w:ascii="Georgia" w:hAnsi="Georgia" w:cs="Helv"/>
          <w:i/>
          <w:color w:val="000000"/>
          <w:sz w:val="20"/>
          <w:szCs w:val="20"/>
          <w:lang w:val="pt-BR"/>
        </w:rPr>
        <w:t>”</w:t>
      </w:r>
      <w:proofErr w:type="gramEnd"/>
    </w:p>
    <w:p w:rsidR="00D263FD" w:rsidRPr="00710067" w:rsidRDefault="00D263FD"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Pelo exposto anteriormente, atestar quanto à adequabilidade do plano de negócios não é prática usual e as restrições colocadas pelos padrões existentes de auditoria inviabilizariam a conclusão consistente do leitor quanto à referida adequabilidade.</w:t>
      </w:r>
    </w:p>
    <w:p w:rsidR="00D263FD" w:rsidRPr="00710067" w:rsidRDefault="00D263FD"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(ii)</w:t>
      </w:r>
      <w:proofErr w:type="gramStart"/>
      <w:r w:rsidRPr="00710067">
        <w:rPr>
          <w:rFonts w:ascii="Georgia" w:hAnsi="Georgia" w:cs="Helv"/>
          <w:color w:val="000000"/>
          <w:sz w:val="20"/>
          <w:szCs w:val="20"/>
          <w:lang w:val="pt-BR"/>
        </w:rPr>
        <w:t xml:space="preserve">  </w:t>
      </w:r>
      <w:proofErr w:type="gramEnd"/>
      <w:r w:rsidRPr="00710067">
        <w:rPr>
          <w:rFonts w:ascii="Georgia" w:hAnsi="Georgia" w:cs="Helv"/>
          <w:color w:val="000000"/>
          <w:sz w:val="20"/>
          <w:szCs w:val="20"/>
          <w:u w:val="single"/>
          <w:lang w:val="pt-BR"/>
        </w:rPr>
        <w:t>Apresentação da carta</w:t>
      </w:r>
    </w:p>
    <w:p w:rsidR="00400724" w:rsidRPr="00710067" w:rsidRDefault="00D263FD"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Na apresentação de sua opinião sobre se a informação financeira prospectiva foi adequadamente compilada o auditor independente deve anexar tal opinião ao modelo avaliado, bem como às notas explicativas que descrevem detalhadamente as premissas</w:t>
      </w:r>
      <w:r w:rsidR="00400724" w:rsidRPr="00710067">
        <w:rPr>
          <w:rFonts w:ascii="Georgia" w:hAnsi="Georgia" w:cs="Helv"/>
          <w:color w:val="000000"/>
          <w:sz w:val="20"/>
          <w:szCs w:val="20"/>
          <w:lang w:val="pt-BR"/>
        </w:rPr>
        <w:t xml:space="preserve"> e parâmetros adotado</w:t>
      </w:r>
      <w:r w:rsidRPr="00710067">
        <w:rPr>
          <w:rFonts w:ascii="Georgia" w:hAnsi="Georgia" w:cs="Helv"/>
          <w:color w:val="000000"/>
          <w:sz w:val="20"/>
          <w:szCs w:val="20"/>
          <w:lang w:val="pt-BR"/>
        </w:rPr>
        <w:t>s</w:t>
      </w:r>
      <w:r w:rsidR="00400724" w:rsidRPr="00710067">
        <w:rPr>
          <w:rFonts w:ascii="Georgia" w:hAnsi="Georgia" w:cs="Helv"/>
          <w:color w:val="000000"/>
          <w:sz w:val="20"/>
          <w:szCs w:val="20"/>
          <w:lang w:val="pt-BR"/>
        </w:rPr>
        <w:t>, este conjunto de informação é inseparável</w:t>
      </w:r>
      <w:r w:rsidRPr="00710067">
        <w:rPr>
          <w:rFonts w:ascii="Georgia" w:hAnsi="Georgia" w:cs="Helv"/>
          <w:color w:val="000000"/>
          <w:sz w:val="20"/>
          <w:szCs w:val="20"/>
          <w:lang w:val="pt-BR"/>
        </w:rPr>
        <w:t xml:space="preserve">. Todavia, </w:t>
      </w:r>
      <w:r w:rsidR="00400724" w:rsidRPr="00710067">
        <w:rPr>
          <w:rFonts w:ascii="Georgia" w:hAnsi="Georgia" w:cs="Helv"/>
          <w:color w:val="000000"/>
          <w:sz w:val="20"/>
          <w:szCs w:val="20"/>
          <w:lang w:val="pt-BR"/>
        </w:rPr>
        <w:t>no item 4.31 da minuta do edital, temos:</w:t>
      </w:r>
    </w:p>
    <w:p w:rsidR="00D263FD" w:rsidRPr="00710067" w:rsidRDefault="00400724" w:rsidP="00400724">
      <w:pPr>
        <w:pStyle w:val="BodyText"/>
        <w:ind w:left="1276"/>
        <w:rPr>
          <w:rFonts w:ascii="Georgia" w:hAnsi="Georgia" w:cs="Helv"/>
          <w:i/>
          <w:color w:val="000000"/>
          <w:sz w:val="20"/>
          <w:szCs w:val="20"/>
          <w:lang w:val="pt-BR"/>
        </w:rPr>
      </w:pPr>
      <w:r w:rsidRPr="00710067">
        <w:rPr>
          <w:rFonts w:ascii="Georgia" w:hAnsi="Georgia" w:cs="Helv"/>
          <w:i/>
          <w:color w:val="000000"/>
          <w:sz w:val="20"/>
          <w:szCs w:val="20"/>
          <w:lang w:val="pt-BR"/>
        </w:rPr>
        <w:t>“4.31. Não poderá ser incluído na proposta econômica da Proponente o plano de negócio apresentado à instituição financeira, sob pena de desclassificação da Proponente e aplicação de multa equivalente ao valor da Garantia de Proposta, com sua consequente execução.</w:t>
      </w:r>
      <w:proofErr w:type="gramStart"/>
      <w:r w:rsidR="00D263FD" w:rsidRPr="00710067">
        <w:rPr>
          <w:rFonts w:ascii="Georgia" w:hAnsi="Georgia" w:cs="Helv"/>
          <w:i/>
          <w:color w:val="000000"/>
          <w:sz w:val="20"/>
          <w:szCs w:val="20"/>
          <w:lang w:val="pt-BR"/>
        </w:rPr>
        <w:t xml:space="preserve"> </w:t>
      </w:r>
      <w:r w:rsidRPr="00710067">
        <w:rPr>
          <w:rFonts w:ascii="Georgia" w:hAnsi="Georgia" w:cs="Helv"/>
          <w:i/>
          <w:color w:val="000000"/>
          <w:sz w:val="20"/>
          <w:szCs w:val="20"/>
          <w:lang w:val="pt-BR"/>
        </w:rPr>
        <w:t>“</w:t>
      </w:r>
      <w:proofErr w:type="gramEnd"/>
    </w:p>
    <w:p w:rsidR="00400724" w:rsidRPr="00710067" w:rsidRDefault="00400724"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Nesta situação pedimos especial atenção deste órgão na avaliação da obrigação de apresentação da referida carta, como anexo ao processo, decidindo por duas opções:</w:t>
      </w:r>
    </w:p>
    <w:p w:rsidR="00D263FD" w:rsidRPr="00710067" w:rsidRDefault="00400724"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 xml:space="preserve">(a) a sua substituição por uma carta onde </w:t>
      </w:r>
      <w:r w:rsidR="00B51945" w:rsidRPr="00710067">
        <w:rPr>
          <w:rFonts w:ascii="Georgia" w:hAnsi="Georgia" w:cs="Helv"/>
          <w:b/>
          <w:color w:val="000000"/>
          <w:sz w:val="20"/>
          <w:szCs w:val="20"/>
          <w:lang w:val="pt-BR"/>
        </w:rPr>
        <w:t>a instituição financeira</w:t>
      </w:r>
      <w:r w:rsidRPr="00710067">
        <w:rPr>
          <w:rFonts w:ascii="Georgia" w:hAnsi="Georgia" w:cs="Helv"/>
          <w:color w:val="000000"/>
          <w:sz w:val="20"/>
          <w:szCs w:val="20"/>
          <w:lang w:val="pt-BR"/>
        </w:rPr>
        <w:t xml:space="preserve"> afirma que recebeu de seus auditores independentes, contratados exclusivamente para avaliação do </w:t>
      </w:r>
      <w:r w:rsidR="00710067" w:rsidRPr="00710067">
        <w:rPr>
          <w:rFonts w:ascii="Georgia" w:hAnsi="Georgia" w:cs="Helv"/>
          <w:color w:val="000000"/>
          <w:sz w:val="20"/>
          <w:szCs w:val="20"/>
          <w:lang w:val="pt-BR"/>
        </w:rPr>
        <w:t>plano de negócios</w:t>
      </w:r>
      <w:r w:rsidRPr="00710067">
        <w:rPr>
          <w:rFonts w:ascii="Georgia" w:hAnsi="Georgia" w:cs="Helv"/>
          <w:color w:val="000000"/>
          <w:sz w:val="20"/>
          <w:szCs w:val="20"/>
          <w:lang w:val="pt-BR"/>
        </w:rPr>
        <w:t xml:space="preserve">, opinião </w:t>
      </w:r>
      <w:r w:rsidR="00B51945" w:rsidRPr="00710067">
        <w:rPr>
          <w:rFonts w:ascii="Georgia" w:hAnsi="Georgia" w:cs="Helv"/>
          <w:color w:val="000000"/>
          <w:sz w:val="20"/>
          <w:szCs w:val="20"/>
          <w:lang w:val="pt-BR"/>
        </w:rPr>
        <w:t>sobre se a informação financeira prospectiva foi adequadamente compilada</w:t>
      </w:r>
      <w:r w:rsidRPr="00710067">
        <w:rPr>
          <w:rFonts w:ascii="Georgia" w:hAnsi="Georgia" w:cs="Helv"/>
          <w:color w:val="000000"/>
          <w:sz w:val="20"/>
          <w:szCs w:val="20"/>
          <w:lang w:val="pt-BR"/>
        </w:rPr>
        <w:t xml:space="preserve">; </w:t>
      </w:r>
      <w:proofErr w:type="gramStart"/>
      <w:r w:rsidRPr="00710067">
        <w:rPr>
          <w:rFonts w:ascii="Georgia" w:hAnsi="Georgia" w:cs="Helv"/>
          <w:color w:val="000000"/>
          <w:sz w:val="20"/>
          <w:szCs w:val="20"/>
          <w:lang w:val="pt-BR"/>
        </w:rPr>
        <w:t>ou</w:t>
      </w:r>
      <w:proofErr w:type="gramEnd"/>
    </w:p>
    <w:p w:rsidR="00B51945" w:rsidRPr="00710067" w:rsidRDefault="00B51945"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(b) a apresentação do conjunto completo de informação: plano de negócios, notas explicativas com o detalhamento das premissas e parecer do auditor independente.</w:t>
      </w:r>
    </w:p>
    <w:p w:rsidR="00B51945" w:rsidRPr="00710067" w:rsidRDefault="00B51945"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A primeira alternativa nos parece a mais adequada para a situação atual e pode ser conjugada com a obrigação ao Proponente de apresentar o conjunto de informação para perícia pela referida agência quando necessário.</w:t>
      </w:r>
    </w:p>
    <w:p w:rsidR="00080644" w:rsidRPr="00710067" w:rsidRDefault="00FC1164" w:rsidP="00FC1164">
      <w:pPr>
        <w:pStyle w:val="BodyText"/>
        <w:rPr>
          <w:rFonts w:ascii="Georgia" w:hAnsi="Georgia" w:cs="Helv"/>
          <w:color w:val="000000"/>
          <w:sz w:val="20"/>
          <w:szCs w:val="20"/>
          <w:lang w:val="pt-BR"/>
        </w:rPr>
      </w:pPr>
      <w:r w:rsidRPr="00710067">
        <w:rPr>
          <w:rFonts w:ascii="Georgia" w:hAnsi="Georgia" w:cs="Helv"/>
          <w:color w:val="000000"/>
          <w:sz w:val="20"/>
          <w:szCs w:val="20"/>
          <w:lang w:val="pt-BR"/>
        </w:rPr>
        <w:t>Em função do exposto, o relató</w:t>
      </w:r>
      <w:r w:rsidR="00B51945" w:rsidRPr="00710067">
        <w:rPr>
          <w:rFonts w:ascii="Georgia" w:hAnsi="Georgia" w:cs="Helv"/>
          <w:color w:val="000000"/>
          <w:sz w:val="20"/>
          <w:szCs w:val="20"/>
          <w:lang w:val="pt-BR"/>
        </w:rPr>
        <w:t>rio do auditor independente</w:t>
      </w:r>
      <w:r w:rsidRPr="00710067">
        <w:rPr>
          <w:rFonts w:ascii="Georgia" w:hAnsi="Georgia" w:cs="Helv"/>
          <w:color w:val="000000"/>
          <w:sz w:val="20"/>
          <w:szCs w:val="20"/>
          <w:lang w:val="pt-BR"/>
        </w:rPr>
        <w:t xml:space="preserve"> que pode ser fornecido nessas circunstâncias é o seguinte</w:t>
      </w:r>
      <w:r w:rsidR="00B51945" w:rsidRPr="00710067">
        <w:rPr>
          <w:rFonts w:ascii="Georgia" w:hAnsi="Georgia" w:cs="Helv"/>
          <w:color w:val="000000"/>
          <w:sz w:val="20"/>
          <w:szCs w:val="20"/>
          <w:lang w:val="pt-BR"/>
        </w:rPr>
        <w:t>:</w:t>
      </w:r>
    </w:p>
    <w:p w:rsidR="0071544E" w:rsidRPr="00710067" w:rsidRDefault="0071544E" w:rsidP="00FC1164">
      <w:pPr>
        <w:pStyle w:val="BodyText"/>
        <w:rPr>
          <w:rFonts w:ascii="Georgia" w:hAnsi="Georgia" w:cs="Helv"/>
          <w:color w:val="000000"/>
          <w:sz w:val="20"/>
          <w:szCs w:val="20"/>
          <w:lang w:val="pt-BR"/>
        </w:rPr>
      </w:pPr>
    </w:p>
    <w:p w:rsidR="00B51945" w:rsidRPr="00710067" w:rsidRDefault="00B51945" w:rsidP="0071544E">
      <w:pPr>
        <w:autoSpaceDE w:val="0"/>
        <w:autoSpaceDN w:val="0"/>
        <w:adjustRightInd w:val="0"/>
        <w:spacing w:before="120" w:after="120" w:line="240" w:lineRule="auto"/>
        <w:rPr>
          <w:rFonts w:ascii="Georgia" w:hAnsi="Georgia" w:cs="Helv"/>
          <w:color w:val="000000"/>
          <w:sz w:val="20"/>
          <w:szCs w:val="20"/>
          <w:lang w:val="en-US"/>
        </w:rPr>
      </w:pPr>
    </w:p>
    <w:p w:rsidR="00710067" w:rsidRPr="00710067" w:rsidRDefault="00710067" w:rsidP="0071544E">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t>(“Data”)</w:t>
      </w:r>
    </w:p>
    <w:p w:rsidR="00710067" w:rsidRPr="00710067" w:rsidRDefault="00710067" w:rsidP="0071544E">
      <w:pPr>
        <w:autoSpaceDE w:val="0"/>
        <w:autoSpaceDN w:val="0"/>
        <w:adjustRightInd w:val="0"/>
        <w:spacing w:before="120" w:after="120" w:line="240" w:lineRule="auto"/>
        <w:rPr>
          <w:rFonts w:ascii="Georgia" w:hAnsi="Georgia" w:cs="Helv"/>
          <w:color w:val="000000"/>
          <w:sz w:val="20"/>
          <w:szCs w:val="20"/>
          <w:lang w:val="pt-BR"/>
        </w:rPr>
      </w:pPr>
    </w:p>
    <w:p w:rsidR="00710067" w:rsidRPr="00710067" w:rsidRDefault="00B51945" w:rsidP="0071544E">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t>Relatório dos auditor</w:t>
      </w:r>
      <w:r w:rsidR="00710067" w:rsidRPr="00710067">
        <w:rPr>
          <w:rFonts w:ascii="Georgia" w:hAnsi="Georgia" w:cs="Helv"/>
          <w:color w:val="000000"/>
          <w:sz w:val="20"/>
          <w:szCs w:val="20"/>
          <w:lang w:val="pt-BR"/>
        </w:rPr>
        <w:t>e</w:t>
      </w:r>
      <w:r w:rsidRPr="00710067">
        <w:rPr>
          <w:rFonts w:ascii="Georgia" w:hAnsi="Georgia" w:cs="Helv"/>
          <w:color w:val="000000"/>
          <w:sz w:val="20"/>
          <w:szCs w:val="20"/>
          <w:lang w:val="pt-BR"/>
        </w:rPr>
        <w:t xml:space="preserve">s </w:t>
      </w:r>
      <w:r w:rsidR="00710067" w:rsidRPr="00710067">
        <w:rPr>
          <w:rFonts w:ascii="Georgia" w:hAnsi="Georgia" w:cs="Helv"/>
          <w:color w:val="000000"/>
          <w:sz w:val="20"/>
          <w:szCs w:val="20"/>
          <w:lang w:val="pt-BR"/>
        </w:rPr>
        <w:t>independentes</w:t>
      </w:r>
    </w:p>
    <w:p w:rsidR="00B51945" w:rsidRPr="00710067" w:rsidRDefault="00B51945" w:rsidP="0071544E">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 </w:t>
      </w:r>
    </w:p>
    <w:p w:rsidR="00B51945" w:rsidRPr="00710067" w:rsidRDefault="00B51945" w:rsidP="00B51945">
      <w:pPr>
        <w:autoSpaceDE w:val="0"/>
        <w:autoSpaceDN w:val="0"/>
        <w:adjustRightInd w:val="0"/>
        <w:spacing w:before="120" w:after="120" w:line="240" w:lineRule="auto"/>
        <w:rPr>
          <w:rFonts w:ascii="Georgia" w:hAnsi="Georgia" w:cs="Helv"/>
          <w:b/>
          <w:bCs/>
          <w:color w:val="000000"/>
          <w:sz w:val="20"/>
          <w:szCs w:val="20"/>
          <w:lang w:val="pt-BR"/>
        </w:rPr>
      </w:pPr>
      <w:r w:rsidRPr="00710067">
        <w:rPr>
          <w:rFonts w:ascii="Georgia" w:hAnsi="Georgia" w:cs="Helv"/>
          <w:color w:val="000000"/>
          <w:sz w:val="20"/>
          <w:szCs w:val="20"/>
          <w:lang w:val="pt-BR"/>
        </w:rPr>
        <w:t xml:space="preserve">À administração da (“Instituição Financeira”) </w:t>
      </w:r>
    </w:p>
    <w:p w:rsidR="00D208BB" w:rsidRPr="00710067" w:rsidRDefault="00B51945" w:rsidP="00B51945">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bCs/>
          <w:color w:val="000000"/>
          <w:sz w:val="20"/>
          <w:szCs w:val="20"/>
          <w:lang w:val="pt-BR"/>
        </w:rPr>
        <w:t>Examinamos as demonstrações financeiras anexas para os períodos finalizados em 31 de dezembro de 20X4, 31 de dezembro de 20X5, 31 de dezembro de 20X6 do modelo de negócios do Aeroporto Internacional (“Galeão” ou “Confins”) de acordo com os padrões internacionais</w:t>
      </w:r>
      <w:r w:rsidR="00D208BB" w:rsidRPr="00710067">
        <w:rPr>
          <w:rFonts w:ascii="Georgia" w:hAnsi="Georgia" w:cs="Helv"/>
          <w:bCs/>
          <w:color w:val="000000"/>
          <w:sz w:val="20"/>
          <w:szCs w:val="20"/>
          <w:lang w:val="pt-BR"/>
        </w:rPr>
        <w:t xml:space="preserve"> de auditoria (</w:t>
      </w:r>
      <w:proofErr w:type="spellStart"/>
      <w:r w:rsidR="0071544E" w:rsidRPr="00710067">
        <w:rPr>
          <w:rFonts w:ascii="Georgia" w:hAnsi="Georgia" w:cs="Helv"/>
          <w:color w:val="000000"/>
          <w:sz w:val="20"/>
          <w:szCs w:val="20"/>
          <w:lang w:val="pt-BR"/>
        </w:rPr>
        <w:t>International</w:t>
      </w:r>
      <w:proofErr w:type="spellEnd"/>
      <w:r w:rsidR="0071544E" w:rsidRPr="00710067">
        <w:rPr>
          <w:rFonts w:ascii="Georgia" w:hAnsi="Georgia" w:cs="Helv"/>
          <w:color w:val="000000"/>
          <w:sz w:val="20"/>
          <w:szCs w:val="20"/>
          <w:lang w:val="pt-BR"/>
        </w:rPr>
        <w:t xml:space="preserve"> Standard </w:t>
      </w:r>
      <w:proofErr w:type="spellStart"/>
      <w:r w:rsidR="0071544E" w:rsidRPr="00710067">
        <w:rPr>
          <w:rFonts w:ascii="Georgia" w:hAnsi="Georgia" w:cs="Helv"/>
          <w:color w:val="000000"/>
          <w:sz w:val="20"/>
          <w:szCs w:val="20"/>
          <w:lang w:val="pt-BR"/>
        </w:rPr>
        <w:t>on</w:t>
      </w:r>
      <w:proofErr w:type="spellEnd"/>
      <w:r w:rsidR="0071544E" w:rsidRPr="00710067">
        <w:rPr>
          <w:rFonts w:ascii="Georgia" w:hAnsi="Georgia" w:cs="Helv"/>
          <w:color w:val="000000"/>
          <w:sz w:val="20"/>
          <w:szCs w:val="20"/>
          <w:lang w:val="pt-BR"/>
        </w:rPr>
        <w:t xml:space="preserve"> </w:t>
      </w:r>
      <w:proofErr w:type="spellStart"/>
      <w:r w:rsidR="0071544E" w:rsidRPr="00710067">
        <w:rPr>
          <w:rFonts w:ascii="Georgia" w:hAnsi="Georgia" w:cs="Helv"/>
          <w:color w:val="000000"/>
          <w:sz w:val="20"/>
          <w:szCs w:val="20"/>
          <w:lang w:val="pt-BR"/>
        </w:rPr>
        <w:t>Assurance</w:t>
      </w:r>
      <w:proofErr w:type="spellEnd"/>
      <w:r w:rsidR="0071544E" w:rsidRPr="00710067">
        <w:rPr>
          <w:rFonts w:ascii="Georgia" w:hAnsi="Georgia" w:cs="Helv"/>
          <w:color w:val="000000"/>
          <w:sz w:val="20"/>
          <w:szCs w:val="20"/>
          <w:lang w:val="pt-BR"/>
        </w:rPr>
        <w:t xml:space="preserve"> </w:t>
      </w:r>
      <w:proofErr w:type="spellStart"/>
      <w:r w:rsidR="0071544E" w:rsidRPr="00710067">
        <w:rPr>
          <w:rFonts w:ascii="Georgia" w:hAnsi="Georgia" w:cs="Helv"/>
          <w:color w:val="000000"/>
          <w:sz w:val="20"/>
          <w:szCs w:val="20"/>
          <w:lang w:val="pt-BR"/>
        </w:rPr>
        <w:t>Engagements</w:t>
      </w:r>
      <w:r w:rsidR="00D208BB" w:rsidRPr="00710067">
        <w:rPr>
          <w:rFonts w:ascii="Georgia" w:hAnsi="Georgia" w:cs="Helv"/>
          <w:color w:val="000000"/>
          <w:sz w:val="20"/>
          <w:szCs w:val="20"/>
          <w:lang w:val="pt-BR"/>
        </w:rPr>
        <w:t>-ISAE</w:t>
      </w:r>
      <w:proofErr w:type="spellEnd"/>
      <w:r w:rsidR="00D208BB" w:rsidRPr="00710067">
        <w:rPr>
          <w:rFonts w:ascii="Georgia" w:hAnsi="Georgia" w:cs="Helv"/>
          <w:color w:val="000000"/>
          <w:sz w:val="20"/>
          <w:szCs w:val="20"/>
          <w:lang w:val="pt-BR"/>
        </w:rPr>
        <w:t>)</w:t>
      </w:r>
      <w:r w:rsidR="0071544E" w:rsidRPr="00710067">
        <w:rPr>
          <w:rFonts w:ascii="Georgia" w:hAnsi="Georgia" w:cs="Helv"/>
          <w:color w:val="000000"/>
          <w:sz w:val="20"/>
          <w:szCs w:val="20"/>
          <w:lang w:val="pt-BR"/>
        </w:rPr>
        <w:t xml:space="preserve">. </w:t>
      </w:r>
      <w:r w:rsidR="00D208BB" w:rsidRPr="00710067">
        <w:rPr>
          <w:rFonts w:ascii="Georgia" w:hAnsi="Georgia" w:cs="Helv"/>
          <w:color w:val="000000"/>
          <w:sz w:val="20"/>
          <w:szCs w:val="20"/>
          <w:lang w:val="pt-BR"/>
        </w:rPr>
        <w:t xml:space="preserve">A administração é responsável pela preparação e apresentação das demonstrações financeiras projetadas incluindo suas premissas descritas na Nota </w:t>
      </w:r>
      <w:proofErr w:type="gramStart"/>
      <w:r w:rsidR="00D208BB" w:rsidRPr="00710067">
        <w:rPr>
          <w:rFonts w:ascii="Georgia" w:hAnsi="Georgia" w:cs="Helv"/>
          <w:color w:val="000000"/>
          <w:sz w:val="20"/>
          <w:szCs w:val="20"/>
          <w:lang w:val="pt-BR"/>
        </w:rPr>
        <w:t>1</w:t>
      </w:r>
      <w:proofErr w:type="gramEnd"/>
      <w:r w:rsidR="00D208BB" w:rsidRPr="00710067">
        <w:rPr>
          <w:rFonts w:ascii="Georgia" w:hAnsi="Georgia" w:cs="Helv"/>
          <w:color w:val="000000"/>
          <w:sz w:val="20"/>
          <w:szCs w:val="20"/>
          <w:lang w:val="pt-BR"/>
        </w:rPr>
        <w:t xml:space="preserve"> na qual tais demonstrações foram elaboradas. É nossa responsabilidade fornecer opinião requerida pela (“Instituição Financeira”).</w:t>
      </w:r>
    </w:p>
    <w:p w:rsidR="00472BEA" w:rsidRPr="00710067" w:rsidRDefault="00D208BB" w:rsidP="0071544E">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lastRenderedPageBreak/>
        <w:t xml:space="preserve">Estas projeções foram preparadas com o objetivo exclusivo de atender aos requisitos do edital do leilão de concessão para ampliação, manutenção e exploração dos aeroportos internacionais Rio de Janeiro/Galeão e Tancredo Neves/Confins e suporte para a decisão do (“nome do proponente”). Em virtude das inerentes incertezas envolvidas nas projeções do volume de negócios e da efetividade das ações de gestão dos negócios, as projeções foram preparadas considerando um conjunto de premissas que incluem premissas hipotéticas sobre eventos futuros e ações da administração que não podem ser confirmadas e verificadas da mesma forma que resultados históricos e não são necessariamente esperadas de ocorrerem. Consequentemente, </w:t>
      </w:r>
      <w:r w:rsidR="00472BEA" w:rsidRPr="00710067">
        <w:rPr>
          <w:rFonts w:ascii="Georgia" w:hAnsi="Georgia" w:cs="Helv"/>
          <w:color w:val="000000"/>
          <w:sz w:val="20"/>
          <w:szCs w:val="20"/>
          <w:lang w:val="pt-BR"/>
        </w:rPr>
        <w:t xml:space="preserve">não </w:t>
      </w:r>
      <w:r w:rsidRPr="00710067">
        <w:rPr>
          <w:rFonts w:ascii="Georgia" w:hAnsi="Georgia" w:cs="Helv"/>
          <w:color w:val="000000"/>
          <w:sz w:val="20"/>
          <w:szCs w:val="20"/>
          <w:lang w:val="pt-BR"/>
        </w:rPr>
        <w:t>expressamos nossa opinião na</w:t>
      </w:r>
      <w:r w:rsidR="00472BEA" w:rsidRPr="00710067">
        <w:rPr>
          <w:rFonts w:ascii="Georgia" w:hAnsi="Georgia" w:cs="Helv"/>
          <w:color w:val="000000"/>
          <w:sz w:val="20"/>
          <w:szCs w:val="20"/>
          <w:lang w:val="pt-BR"/>
        </w:rPr>
        <w:t xml:space="preserve"> validade das premissas nas quais as projeções estão suportadas ou em quão próximos os resultados atuais serão comparados com as projeções. Estas projeções podem não ser apropriadas e não devem ser utilizadas para outros fins além do descrito anteriormente.</w:t>
      </w:r>
    </w:p>
    <w:p w:rsidR="00D208BB" w:rsidRPr="00710067" w:rsidRDefault="00472BEA" w:rsidP="0071544E">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Em nossa opinião as projeções foram adequadamente compiladas nas bases das premissas descritas na Nota </w:t>
      </w:r>
      <w:proofErr w:type="gramStart"/>
      <w:r w:rsidRPr="00710067">
        <w:rPr>
          <w:rFonts w:ascii="Georgia" w:hAnsi="Georgia" w:cs="Helv"/>
          <w:color w:val="000000"/>
          <w:sz w:val="20"/>
          <w:szCs w:val="20"/>
          <w:lang w:val="pt-BR"/>
        </w:rPr>
        <w:t>1</w:t>
      </w:r>
      <w:proofErr w:type="gramEnd"/>
      <w:r w:rsidRPr="00710067">
        <w:rPr>
          <w:rFonts w:ascii="Georgia" w:hAnsi="Georgia" w:cs="Helv"/>
          <w:color w:val="000000"/>
          <w:sz w:val="20"/>
          <w:szCs w:val="20"/>
          <w:lang w:val="pt-BR"/>
        </w:rPr>
        <w:t xml:space="preserve"> e os critérios contábeis adotados são consistentes com as normas de contabilidade vigentes.</w:t>
      </w:r>
    </w:p>
    <w:p w:rsidR="0071544E" w:rsidRPr="00710067" w:rsidRDefault="00472BEA" w:rsidP="00472BEA">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t>Mesmo que os eventos antecipados nas hipóteses das premissas ocorram, os resultados atuais tendem a ser diferentes das projeções uma vez que outros eventos antecipados frequentemente não ocorram como o esperado e a variação pode ser material. Ainda, enfatizamos que as informações projetadas não tem a intenção de fornecer toda a informação e divulgações necessárias para prover uma apresentação de acordo com os padrões internacionais de demonstrações financeiras (</w:t>
      </w:r>
      <w:proofErr w:type="spellStart"/>
      <w:r w:rsidR="0071544E" w:rsidRPr="00710067">
        <w:rPr>
          <w:rFonts w:ascii="Georgia" w:hAnsi="Georgia" w:cs="Helv"/>
          <w:color w:val="000000"/>
          <w:sz w:val="20"/>
          <w:szCs w:val="20"/>
          <w:lang w:val="pt-BR"/>
        </w:rPr>
        <w:t>International</w:t>
      </w:r>
      <w:proofErr w:type="spellEnd"/>
      <w:r w:rsidRPr="00710067">
        <w:rPr>
          <w:rFonts w:ascii="Georgia" w:hAnsi="Georgia" w:cs="Helv"/>
          <w:color w:val="000000"/>
          <w:sz w:val="20"/>
          <w:szCs w:val="20"/>
          <w:lang w:val="pt-BR"/>
        </w:rPr>
        <w:t xml:space="preserve"> Financial </w:t>
      </w:r>
      <w:proofErr w:type="spellStart"/>
      <w:r w:rsidRPr="00710067">
        <w:rPr>
          <w:rFonts w:ascii="Georgia" w:hAnsi="Georgia" w:cs="Helv"/>
          <w:color w:val="000000"/>
          <w:sz w:val="20"/>
          <w:szCs w:val="20"/>
          <w:lang w:val="pt-BR"/>
        </w:rPr>
        <w:t>Reporting</w:t>
      </w:r>
      <w:proofErr w:type="spellEnd"/>
      <w:r w:rsidRPr="00710067">
        <w:rPr>
          <w:rFonts w:ascii="Georgia" w:hAnsi="Georgia" w:cs="Helv"/>
          <w:color w:val="000000"/>
          <w:sz w:val="20"/>
          <w:szCs w:val="20"/>
          <w:lang w:val="pt-BR"/>
        </w:rPr>
        <w:t xml:space="preserve"> </w:t>
      </w:r>
      <w:proofErr w:type="spellStart"/>
      <w:r w:rsidRPr="00710067">
        <w:rPr>
          <w:rFonts w:ascii="Georgia" w:hAnsi="Georgia" w:cs="Helv"/>
          <w:color w:val="000000"/>
          <w:sz w:val="20"/>
          <w:szCs w:val="20"/>
          <w:lang w:val="pt-BR"/>
        </w:rPr>
        <w:t>Standards-IFRS</w:t>
      </w:r>
      <w:proofErr w:type="spellEnd"/>
      <w:r w:rsidRPr="00710067">
        <w:rPr>
          <w:rFonts w:ascii="Georgia" w:hAnsi="Georgia" w:cs="Helv"/>
          <w:color w:val="000000"/>
          <w:sz w:val="20"/>
          <w:szCs w:val="20"/>
          <w:lang w:val="pt-BR"/>
        </w:rPr>
        <w:t>).</w:t>
      </w:r>
    </w:p>
    <w:p w:rsidR="00710067" w:rsidRPr="00710067" w:rsidRDefault="00472BEA" w:rsidP="0071544E">
      <w:pPr>
        <w:autoSpaceDE w:val="0"/>
        <w:autoSpaceDN w:val="0"/>
        <w:adjustRightInd w:val="0"/>
        <w:spacing w:before="120" w:after="120" w:line="240" w:lineRule="auto"/>
        <w:rPr>
          <w:rFonts w:ascii="Georgia" w:hAnsi="Georgia" w:cs="Helv"/>
          <w:color w:val="000000"/>
          <w:sz w:val="20"/>
          <w:szCs w:val="20"/>
          <w:lang w:val="pt-BR"/>
        </w:rPr>
      </w:pPr>
      <w:r w:rsidRPr="00710067">
        <w:rPr>
          <w:rFonts w:ascii="Georgia" w:hAnsi="Georgia" w:cs="Helv"/>
          <w:color w:val="000000"/>
          <w:sz w:val="20"/>
          <w:szCs w:val="20"/>
          <w:lang w:val="pt-BR"/>
        </w:rPr>
        <w:t xml:space="preserve">Estas informações financeiras projetadas foram preparadas para o propósito descrito acima e podem não ser apropriadas para outros propósitos. Nosso relatório é endereçado exclusivamente para </w:t>
      </w:r>
      <w:r w:rsidR="00710067" w:rsidRPr="00710067">
        <w:rPr>
          <w:rFonts w:ascii="Georgia" w:hAnsi="Georgia" w:cs="Helv"/>
          <w:color w:val="000000"/>
          <w:sz w:val="20"/>
          <w:szCs w:val="20"/>
          <w:lang w:val="pt-BR"/>
        </w:rPr>
        <w:t>(“nome do proponente”)</w:t>
      </w:r>
      <w:proofErr w:type="gramStart"/>
      <w:r w:rsidR="00710067" w:rsidRPr="00710067">
        <w:rPr>
          <w:rFonts w:ascii="Georgia" w:hAnsi="Georgia" w:cs="Helv"/>
          <w:color w:val="000000"/>
          <w:sz w:val="20"/>
          <w:szCs w:val="20"/>
          <w:lang w:val="pt-BR"/>
        </w:rPr>
        <w:t xml:space="preserve">  </w:t>
      </w:r>
      <w:proofErr w:type="gramEnd"/>
      <w:r w:rsidR="00710067" w:rsidRPr="00710067">
        <w:rPr>
          <w:rFonts w:ascii="Georgia" w:hAnsi="Georgia" w:cs="Helv"/>
          <w:color w:val="000000"/>
          <w:sz w:val="20"/>
          <w:szCs w:val="20"/>
          <w:lang w:val="pt-BR"/>
        </w:rPr>
        <w:t>e (“Instituição Financeira”).</w:t>
      </w:r>
    </w:p>
    <w:p w:rsidR="00710067" w:rsidRPr="00710067" w:rsidRDefault="00710067" w:rsidP="0083682B">
      <w:pPr>
        <w:pStyle w:val="BodyText"/>
        <w:rPr>
          <w:rFonts w:ascii="Georgia" w:hAnsi="Georgia" w:cs="Helv"/>
          <w:color w:val="000000"/>
          <w:sz w:val="20"/>
          <w:szCs w:val="20"/>
          <w:lang w:val="en-US"/>
        </w:rPr>
      </w:pPr>
    </w:p>
    <w:p w:rsidR="00710067" w:rsidRPr="00710067" w:rsidRDefault="00710067" w:rsidP="0083682B">
      <w:pPr>
        <w:pStyle w:val="BodyText"/>
        <w:rPr>
          <w:rFonts w:ascii="Georgia" w:hAnsi="Georgia" w:cs="Helv"/>
          <w:color w:val="000000"/>
          <w:sz w:val="20"/>
          <w:szCs w:val="20"/>
          <w:lang w:val="pt-BR"/>
        </w:rPr>
      </w:pPr>
      <w:r w:rsidRPr="00710067">
        <w:rPr>
          <w:rFonts w:ascii="Georgia" w:hAnsi="Georgia" w:cs="Helv"/>
          <w:color w:val="000000"/>
          <w:sz w:val="20"/>
          <w:szCs w:val="20"/>
          <w:lang w:val="pt-BR"/>
        </w:rPr>
        <w:t>(“Nome da empresa de auditoria”)</w:t>
      </w:r>
    </w:p>
    <w:p w:rsidR="00710067" w:rsidRPr="00710067" w:rsidRDefault="00710067" w:rsidP="0083682B">
      <w:pPr>
        <w:pStyle w:val="BodyText"/>
        <w:rPr>
          <w:rFonts w:ascii="Georgia" w:hAnsi="Georgia" w:cs="Helv"/>
          <w:color w:val="000000"/>
          <w:sz w:val="20"/>
          <w:szCs w:val="20"/>
          <w:lang w:val="pt-BR"/>
        </w:rPr>
      </w:pPr>
      <w:r w:rsidRPr="00710067">
        <w:rPr>
          <w:rFonts w:ascii="Georgia" w:hAnsi="Georgia" w:cs="Helv"/>
          <w:color w:val="000000"/>
          <w:sz w:val="20"/>
          <w:szCs w:val="20"/>
          <w:lang w:val="pt-BR"/>
        </w:rPr>
        <w:t xml:space="preserve">(“CRC da empresa de auditoria”) </w:t>
      </w:r>
    </w:p>
    <w:p w:rsidR="00710067" w:rsidRPr="00710067" w:rsidRDefault="00710067" w:rsidP="0083682B">
      <w:pPr>
        <w:pStyle w:val="BodyText"/>
        <w:rPr>
          <w:rFonts w:ascii="Georgia" w:hAnsi="Georgia" w:cs="Helv"/>
          <w:color w:val="000000"/>
          <w:sz w:val="20"/>
          <w:szCs w:val="20"/>
          <w:lang w:val="pt-BR"/>
        </w:rPr>
      </w:pPr>
    </w:p>
    <w:p w:rsidR="0071544E" w:rsidRPr="00710067" w:rsidRDefault="00710067" w:rsidP="0071544E">
      <w:pPr>
        <w:pStyle w:val="BodyText"/>
        <w:rPr>
          <w:rFonts w:ascii="Georgia" w:hAnsi="Georgia"/>
          <w:sz w:val="20"/>
          <w:szCs w:val="20"/>
          <w:lang w:val="pt-BR"/>
        </w:rPr>
      </w:pPr>
      <w:r w:rsidRPr="00710067">
        <w:rPr>
          <w:rFonts w:ascii="Georgia" w:hAnsi="Georgia"/>
          <w:sz w:val="20"/>
          <w:szCs w:val="20"/>
          <w:lang w:val="pt-BR"/>
        </w:rPr>
        <w:t>(“Nome do auditor responsável”)</w:t>
      </w:r>
    </w:p>
    <w:p w:rsidR="00710067" w:rsidRPr="00710067" w:rsidRDefault="00710067" w:rsidP="0071544E">
      <w:pPr>
        <w:pStyle w:val="BodyText"/>
        <w:rPr>
          <w:rFonts w:ascii="Georgia" w:hAnsi="Georgia"/>
          <w:sz w:val="20"/>
          <w:szCs w:val="20"/>
          <w:lang w:val="pt-BR"/>
        </w:rPr>
      </w:pPr>
      <w:r w:rsidRPr="00710067">
        <w:rPr>
          <w:rFonts w:ascii="Georgia" w:hAnsi="Georgia"/>
          <w:sz w:val="20"/>
          <w:szCs w:val="20"/>
          <w:lang w:val="pt-BR"/>
        </w:rPr>
        <w:t>(“CRC do auditor responsável”)</w:t>
      </w:r>
    </w:p>
    <w:sectPr w:rsidR="00710067" w:rsidRPr="00710067" w:rsidSect="0054330C">
      <w:headerReference w:type="default" r:id="rId7"/>
      <w:pgSz w:w="11906" w:h="16838"/>
      <w:pgMar w:top="2835" w:right="544" w:bottom="1418" w:left="544" w:header="544" w:footer="544" w:gutter="34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EA5" w:rsidRDefault="00481EA5" w:rsidP="00436A45">
      <w:pPr>
        <w:spacing w:after="0" w:line="240" w:lineRule="auto"/>
      </w:pPr>
      <w:r>
        <w:separator/>
      </w:r>
    </w:p>
  </w:endnote>
  <w:endnote w:type="continuationSeparator" w:id="0">
    <w:p w:rsidR="00481EA5" w:rsidRDefault="00481EA5" w:rsidP="00436A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wC_Logo">
    <w:panose1 w:val="050004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EA5" w:rsidRDefault="00481EA5" w:rsidP="00436A45">
      <w:pPr>
        <w:spacing w:after="0" w:line="240" w:lineRule="auto"/>
      </w:pPr>
      <w:r>
        <w:separator/>
      </w:r>
    </w:p>
  </w:footnote>
  <w:footnote w:type="continuationSeparator" w:id="0">
    <w:p w:rsidR="00481EA5" w:rsidRDefault="00481EA5" w:rsidP="00436A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083" w:rsidRDefault="007B10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544DDE4"/>
    <w:lvl w:ilvl="0">
      <w:start w:val="1"/>
      <w:numFmt w:val="decimal"/>
      <w:lvlText w:val="%1."/>
      <w:lvlJc w:val="left"/>
      <w:pPr>
        <w:tabs>
          <w:tab w:val="num" w:pos="1492"/>
        </w:tabs>
        <w:ind w:left="1492" w:hanging="360"/>
      </w:pPr>
    </w:lvl>
  </w:abstractNum>
  <w:abstractNum w:abstractNumId="1">
    <w:nsid w:val="FFFFFF7D"/>
    <w:multiLevelType w:val="singleLevel"/>
    <w:tmpl w:val="CE9A8ADC"/>
    <w:lvl w:ilvl="0">
      <w:start w:val="1"/>
      <w:numFmt w:val="decimal"/>
      <w:lvlText w:val="%1."/>
      <w:lvlJc w:val="left"/>
      <w:pPr>
        <w:tabs>
          <w:tab w:val="num" w:pos="1209"/>
        </w:tabs>
        <w:ind w:left="1209" w:hanging="360"/>
      </w:pPr>
    </w:lvl>
  </w:abstractNum>
  <w:abstractNum w:abstractNumId="2">
    <w:nsid w:val="FFFFFF7E"/>
    <w:multiLevelType w:val="singleLevel"/>
    <w:tmpl w:val="5FC8F238"/>
    <w:lvl w:ilvl="0">
      <w:start w:val="1"/>
      <w:numFmt w:val="decimal"/>
      <w:lvlText w:val="%1."/>
      <w:lvlJc w:val="left"/>
      <w:pPr>
        <w:tabs>
          <w:tab w:val="num" w:pos="926"/>
        </w:tabs>
        <w:ind w:left="926" w:hanging="360"/>
      </w:pPr>
    </w:lvl>
  </w:abstractNum>
  <w:abstractNum w:abstractNumId="3">
    <w:nsid w:val="FFFFFF7F"/>
    <w:multiLevelType w:val="singleLevel"/>
    <w:tmpl w:val="F6BC28A4"/>
    <w:lvl w:ilvl="0">
      <w:start w:val="1"/>
      <w:numFmt w:val="decimal"/>
      <w:lvlText w:val="%1."/>
      <w:lvlJc w:val="left"/>
      <w:pPr>
        <w:tabs>
          <w:tab w:val="num" w:pos="643"/>
        </w:tabs>
        <w:ind w:left="643" w:hanging="360"/>
      </w:pPr>
    </w:lvl>
  </w:abstractNum>
  <w:abstractNum w:abstractNumId="4">
    <w:nsid w:val="FFFFFF80"/>
    <w:multiLevelType w:val="singleLevel"/>
    <w:tmpl w:val="57E2DF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4CA6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436FF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A87A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F60F1BA"/>
    <w:lvl w:ilvl="0">
      <w:start w:val="1"/>
      <w:numFmt w:val="decimal"/>
      <w:lvlText w:val="%1."/>
      <w:lvlJc w:val="left"/>
      <w:pPr>
        <w:tabs>
          <w:tab w:val="num" w:pos="360"/>
        </w:tabs>
        <w:ind w:left="360" w:hanging="360"/>
      </w:pPr>
    </w:lvl>
  </w:abstractNum>
  <w:abstractNum w:abstractNumId="9">
    <w:nsid w:val="FFFFFF89"/>
    <w:multiLevelType w:val="singleLevel"/>
    <w:tmpl w:val="DD3CE9A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8B5CE282"/>
    <w:lvl w:ilvl="0">
      <w:numFmt w:val="bullet"/>
      <w:lvlText w:val="*"/>
      <w:lvlJc w:val="left"/>
    </w:lvl>
  </w:abstractNum>
  <w:abstractNum w:abstractNumId="11">
    <w:nsid w:val="084204C2"/>
    <w:multiLevelType w:val="multilevel"/>
    <w:tmpl w:val="B790A32C"/>
    <w:name w:val="PwCListBullets15"/>
    <w:numStyleLink w:val="PwCListBullets1"/>
  </w:abstractNum>
  <w:abstractNum w:abstractNumId="12">
    <w:nsid w:val="0984408E"/>
    <w:multiLevelType w:val="multilevel"/>
    <w:tmpl w:val="CF020DFA"/>
    <w:name w:val="PwCListNumbers1"/>
    <w:styleLink w:val="PwCListNumbers1"/>
    <w:lvl w:ilvl="0">
      <w:start w:val="1"/>
      <w:numFmt w:val="decimal"/>
      <w:pStyle w:val="ListNumber"/>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decimal"/>
      <w:pStyle w:val="ListNumber4"/>
      <w:lvlText w:val="%4."/>
      <w:lvlJc w:val="left"/>
      <w:pPr>
        <w:tabs>
          <w:tab w:val="num" w:pos="1588"/>
        </w:tabs>
        <w:ind w:left="1588" w:hanging="397"/>
      </w:pPr>
      <w:rPr>
        <w:rFonts w:hint="default"/>
      </w:rPr>
    </w:lvl>
    <w:lvl w:ilvl="4">
      <w:start w:val="1"/>
      <w:numFmt w:val="lowerLetter"/>
      <w:pStyle w:val="ListNumber5"/>
      <w:lvlText w:val="%5."/>
      <w:lvlJc w:val="left"/>
      <w:pPr>
        <w:tabs>
          <w:tab w:val="num" w:pos="1985"/>
        </w:tabs>
        <w:ind w:left="1985" w:hanging="397"/>
      </w:pPr>
      <w:rPr>
        <w:rFonts w:hint="default"/>
      </w:rPr>
    </w:lvl>
    <w:lvl w:ilvl="5">
      <w:start w:val="1"/>
      <w:numFmt w:val="lowerRoman"/>
      <w:lvlText w:val="%6."/>
      <w:lvlJc w:val="left"/>
      <w:pPr>
        <w:tabs>
          <w:tab w:val="num" w:pos="2381"/>
        </w:tabs>
        <w:ind w:left="2382" w:hanging="397"/>
      </w:pPr>
      <w:rPr>
        <w:rFonts w:hint="default"/>
      </w:rPr>
    </w:lvl>
    <w:lvl w:ilvl="6">
      <w:start w:val="1"/>
      <w:numFmt w:val="decimal"/>
      <w:lvlText w:val="%7."/>
      <w:lvlJc w:val="left"/>
      <w:pPr>
        <w:tabs>
          <w:tab w:val="num" w:pos="2778"/>
        </w:tabs>
        <w:ind w:left="2779" w:hanging="397"/>
      </w:pPr>
      <w:rPr>
        <w:rFonts w:hint="default"/>
      </w:rPr>
    </w:lvl>
    <w:lvl w:ilvl="7">
      <w:start w:val="1"/>
      <w:numFmt w:val="lowerLetter"/>
      <w:lvlText w:val="%8."/>
      <w:lvlJc w:val="left"/>
      <w:pPr>
        <w:tabs>
          <w:tab w:val="num" w:pos="3175"/>
        </w:tabs>
        <w:ind w:left="3176" w:hanging="397"/>
      </w:pPr>
      <w:rPr>
        <w:rFonts w:hint="default"/>
      </w:rPr>
    </w:lvl>
    <w:lvl w:ilvl="8">
      <w:start w:val="1"/>
      <w:numFmt w:val="lowerRoman"/>
      <w:lvlText w:val="%9."/>
      <w:lvlJc w:val="left"/>
      <w:pPr>
        <w:tabs>
          <w:tab w:val="num" w:pos="3572"/>
        </w:tabs>
        <w:ind w:left="3573" w:hanging="397"/>
      </w:pPr>
      <w:rPr>
        <w:rFonts w:hint="default"/>
      </w:rPr>
    </w:lvl>
  </w:abstractNum>
  <w:abstractNum w:abstractNumId="13">
    <w:nsid w:val="23B62FBF"/>
    <w:multiLevelType w:val="multilevel"/>
    <w:tmpl w:val="B790A32C"/>
    <w:name w:val="PwCListBullets16"/>
    <w:numStyleLink w:val="PwCListBullets1"/>
  </w:abstractNum>
  <w:abstractNum w:abstractNumId="14">
    <w:nsid w:val="2AF667C2"/>
    <w:multiLevelType w:val="multilevel"/>
    <w:tmpl w:val="B790A32C"/>
    <w:name w:val="PwCListBullets13"/>
    <w:numStyleLink w:val="PwCListBullets1"/>
  </w:abstractNum>
  <w:abstractNum w:abstractNumId="15">
    <w:nsid w:val="3677385F"/>
    <w:multiLevelType w:val="multilevel"/>
    <w:tmpl w:val="CF020DFA"/>
    <w:name w:val="PwCListNumbers12"/>
    <w:numStyleLink w:val="PwCListNumbers1"/>
  </w:abstractNum>
  <w:abstractNum w:abstractNumId="16">
    <w:nsid w:val="44B16D24"/>
    <w:multiLevelType w:val="multilevel"/>
    <w:tmpl w:val="B790A32C"/>
    <w:name w:val="PwCListBullets14"/>
    <w:numStyleLink w:val="PwCListBullets1"/>
  </w:abstractNum>
  <w:abstractNum w:abstractNumId="17">
    <w:nsid w:val="494B747C"/>
    <w:multiLevelType w:val="multilevel"/>
    <w:tmpl w:val="CF020DFA"/>
    <w:name w:val="PwCListNumbers13"/>
    <w:numStyleLink w:val="PwCListNumbers1"/>
  </w:abstractNum>
  <w:abstractNum w:abstractNumId="18">
    <w:nsid w:val="54840A41"/>
    <w:multiLevelType w:val="multilevel"/>
    <w:tmpl w:val="CF020DFA"/>
    <w:name w:val="PwCListNumbers14"/>
    <w:numStyleLink w:val="PwCListNumbers1"/>
  </w:abstractNum>
  <w:abstractNum w:abstractNumId="19">
    <w:nsid w:val="5C3D4B59"/>
    <w:multiLevelType w:val="multilevel"/>
    <w:tmpl w:val="B790A32C"/>
    <w:name w:val="PwCListBullets12"/>
    <w:numStyleLink w:val="PwCListBullets1"/>
  </w:abstractNum>
  <w:abstractNum w:abstractNumId="20">
    <w:nsid w:val="72591CA9"/>
    <w:multiLevelType w:val="multilevel"/>
    <w:tmpl w:val="B790A32C"/>
    <w:name w:val="PwCListBullets1"/>
    <w:styleLink w:val="PwCListBullets1"/>
    <w:lvl w:ilvl="0">
      <w:start w:val="1"/>
      <w:numFmt w:val="bullet"/>
      <w:pStyle w:val="ListBullet"/>
      <w:lvlText w:val=""/>
      <w:lvlJc w:val="left"/>
      <w:pPr>
        <w:tabs>
          <w:tab w:val="num" w:pos="397"/>
        </w:tabs>
        <w:ind w:left="397" w:hanging="397"/>
      </w:pPr>
      <w:rPr>
        <w:rFonts w:ascii="Symbol" w:hAnsi="Symbol" w:hint="default"/>
      </w:rPr>
    </w:lvl>
    <w:lvl w:ilvl="1">
      <w:start w:val="1"/>
      <w:numFmt w:val="bullet"/>
      <w:pStyle w:val="ListBullet2"/>
      <w:lvlText w:val=""/>
      <w:lvlJc w:val="left"/>
      <w:pPr>
        <w:tabs>
          <w:tab w:val="num" w:pos="794"/>
        </w:tabs>
        <w:ind w:left="794" w:hanging="397"/>
      </w:pPr>
      <w:rPr>
        <w:rFonts w:ascii="Symbol" w:hAnsi="Symbol" w:hint="default"/>
      </w:rPr>
    </w:lvl>
    <w:lvl w:ilvl="2">
      <w:start w:val="1"/>
      <w:numFmt w:val="bullet"/>
      <w:pStyle w:val="ListBullet3"/>
      <w:lvlText w:val=""/>
      <w:lvlJc w:val="left"/>
      <w:pPr>
        <w:tabs>
          <w:tab w:val="num" w:pos="1191"/>
        </w:tabs>
        <w:ind w:left="1191" w:hanging="397"/>
      </w:pPr>
      <w:rPr>
        <w:rFonts w:ascii="Symbol" w:hAnsi="Symbol" w:hint="default"/>
      </w:rPr>
    </w:lvl>
    <w:lvl w:ilvl="3">
      <w:start w:val="1"/>
      <w:numFmt w:val="bullet"/>
      <w:pStyle w:val="ListBullet4"/>
      <w:lvlText w:val=""/>
      <w:lvlJc w:val="left"/>
      <w:pPr>
        <w:tabs>
          <w:tab w:val="num" w:pos="1588"/>
        </w:tabs>
        <w:ind w:left="1588" w:hanging="397"/>
      </w:pPr>
      <w:rPr>
        <w:rFonts w:ascii="Symbol" w:hAnsi="Symbol" w:hint="default"/>
      </w:rPr>
    </w:lvl>
    <w:lvl w:ilvl="4">
      <w:start w:val="1"/>
      <w:numFmt w:val="bullet"/>
      <w:pStyle w:val="ListBullet5"/>
      <w:lvlText w:val=""/>
      <w:lvlJc w:val="left"/>
      <w:pPr>
        <w:tabs>
          <w:tab w:val="num" w:pos="1985"/>
        </w:tabs>
        <w:ind w:left="1985" w:hanging="397"/>
      </w:pPr>
      <w:rPr>
        <w:rFonts w:ascii="Symbol" w:hAnsi="Symbol" w:hint="default"/>
      </w:rPr>
    </w:lvl>
    <w:lvl w:ilvl="5">
      <w:start w:val="1"/>
      <w:numFmt w:val="bullet"/>
      <w:lvlText w:val=""/>
      <w:lvlJc w:val="left"/>
      <w:pPr>
        <w:tabs>
          <w:tab w:val="num" w:pos="2381"/>
        </w:tabs>
        <w:ind w:left="2382" w:hanging="397"/>
      </w:pPr>
      <w:rPr>
        <w:rFonts w:ascii="Symbol" w:hAnsi="Symbol" w:hint="default"/>
      </w:rPr>
    </w:lvl>
    <w:lvl w:ilvl="6">
      <w:start w:val="1"/>
      <w:numFmt w:val="bullet"/>
      <w:lvlText w:val=""/>
      <w:lvlJc w:val="left"/>
      <w:pPr>
        <w:tabs>
          <w:tab w:val="num" w:pos="2778"/>
        </w:tabs>
        <w:ind w:left="2779" w:hanging="397"/>
      </w:pPr>
      <w:rPr>
        <w:rFonts w:ascii="Symbol" w:hAnsi="Symbol" w:hint="default"/>
      </w:rPr>
    </w:lvl>
    <w:lvl w:ilvl="7">
      <w:start w:val="1"/>
      <w:numFmt w:val="bullet"/>
      <w:lvlText w:val=""/>
      <w:lvlJc w:val="left"/>
      <w:pPr>
        <w:tabs>
          <w:tab w:val="num" w:pos="3175"/>
        </w:tabs>
        <w:ind w:left="3176" w:hanging="397"/>
      </w:pPr>
      <w:rPr>
        <w:rFonts w:ascii="Symbol" w:hAnsi="Symbol" w:hint="default"/>
      </w:rPr>
    </w:lvl>
    <w:lvl w:ilvl="8">
      <w:start w:val="1"/>
      <w:numFmt w:val="bullet"/>
      <w:lvlText w:val=""/>
      <w:lvlJc w:val="left"/>
      <w:pPr>
        <w:tabs>
          <w:tab w:val="num" w:pos="3572"/>
        </w:tabs>
        <w:ind w:left="3573" w:hanging="39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19"/>
  </w:num>
  <w:num w:numId="13">
    <w:abstractNumId w:val="14"/>
  </w:num>
  <w:num w:numId="14">
    <w:abstractNumId w:val="16"/>
  </w:num>
  <w:num w:numId="15">
    <w:abstractNumId w:val="12"/>
  </w:num>
  <w:num w:numId="16">
    <w:abstractNumId w:val="15"/>
  </w:num>
  <w:num w:numId="17">
    <w:abstractNumId w:val="11"/>
  </w:num>
  <w:num w:numId="18">
    <w:abstractNumId w:val="13"/>
  </w:num>
  <w:num w:numId="19">
    <w:abstractNumId w:val="17"/>
  </w:num>
  <w:num w:numId="20">
    <w:abstractNumId w:val="1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05"/>
  <w:displayHorizontalDrawingGridEvery w:val="2"/>
  <w:characterSpacingControl w:val="doNotCompress"/>
  <w:hdrShapeDefaults>
    <o:shapedefaults v:ext="edit" spidmax="412674"/>
  </w:hdrShapeDefaults>
  <w:footnotePr>
    <w:footnote w:id="-1"/>
    <w:footnote w:id="0"/>
  </w:footnotePr>
  <w:endnotePr>
    <w:endnote w:id="-1"/>
    <w:endnote w:id="0"/>
  </w:endnotePr>
  <w:compat/>
  <w:rsids>
    <w:rsidRoot w:val="00DB332A"/>
    <w:rsid w:val="00007FFE"/>
    <w:rsid w:val="00012D28"/>
    <w:rsid w:val="00034D9F"/>
    <w:rsid w:val="00036AF8"/>
    <w:rsid w:val="00047B09"/>
    <w:rsid w:val="00050588"/>
    <w:rsid w:val="00051683"/>
    <w:rsid w:val="000540C8"/>
    <w:rsid w:val="000573D5"/>
    <w:rsid w:val="00072177"/>
    <w:rsid w:val="00080644"/>
    <w:rsid w:val="0008583F"/>
    <w:rsid w:val="000859B7"/>
    <w:rsid w:val="000A5E8C"/>
    <w:rsid w:val="000A6FE6"/>
    <w:rsid w:val="000B07BE"/>
    <w:rsid w:val="000B142B"/>
    <w:rsid w:val="000B33E8"/>
    <w:rsid w:val="000B3C73"/>
    <w:rsid w:val="000B7AEA"/>
    <w:rsid w:val="000D7DAE"/>
    <w:rsid w:val="000E649A"/>
    <w:rsid w:val="000F2057"/>
    <w:rsid w:val="000F6280"/>
    <w:rsid w:val="00100744"/>
    <w:rsid w:val="00104D9E"/>
    <w:rsid w:val="00105705"/>
    <w:rsid w:val="001125E7"/>
    <w:rsid w:val="00121B73"/>
    <w:rsid w:val="001258FF"/>
    <w:rsid w:val="001325A2"/>
    <w:rsid w:val="001567E1"/>
    <w:rsid w:val="00160D28"/>
    <w:rsid w:val="00170D53"/>
    <w:rsid w:val="00176130"/>
    <w:rsid w:val="00176A96"/>
    <w:rsid w:val="0018168C"/>
    <w:rsid w:val="00183A8D"/>
    <w:rsid w:val="0019163D"/>
    <w:rsid w:val="001921A5"/>
    <w:rsid w:val="00193379"/>
    <w:rsid w:val="001C1EAC"/>
    <w:rsid w:val="001C57AC"/>
    <w:rsid w:val="001C5C59"/>
    <w:rsid w:val="001C7EAA"/>
    <w:rsid w:val="001E2C3A"/>
    <w:rsid w:val="001E6396"/>
    <w:rsid w:val="001F0FC0"/>
    <w:rsid w:val="0020494F"/>
    <w:rsid w:val="002079E3"/>
    <w:rsid w:val="00216A4B"/>
    <w:rsid w:val="0023039D"/>
    <w:rsid w:val="0023375C"/>
    <w:rsid w:val="00235C5E"/>
    <w:rsid w:val="00242F1A"/>
    <w:rsid w:val="0024321A"/>
    <w:rsid w:val="00243AF6"/>
    <w:rsid w:val="00246F3B"/>
    <w:rsid w:val="00253088"/>
    <w:rsid w:val="0026205B"/>
    <w:rsid w:val="002649B9"/>
    <w:rsid w:val="00264D24"/>
    <w:rsid w:val="00267E2E"/>
    <w:rsid w:val="00273C9B"/>
    <w:rsid w:val="00276D9F"/>
    <w:rsid w:val="002825C6"/>
    <w:rsid w:val="00290D91"/>
    <w:rsid w:val="0029269A"/>
    <w:rsid w:val="00297853"/>
    <w:rsid w:val="002A0DD9"/>
    <w:rsid w:val="002A43E6"/>
    <w:rsid w:val="002A635A"/>
    <w:rsid w:val="002B6D77"/>
    <w:rsid w:val="002C195B"/>
    <w:rsid w:val="002C1E97"/>
    <w:rsid w:val="002D0532"/>
    <w:rsid w:val="002E7B01"/>
    <w:rsid w:val="002F634B"/>
    <w:rsid w:val="00305B10"/>
    <w:rsid w:val="00311666"/>
    <w:rsid w:val="00330FF6"/>
    <w:rsid w:val="00333C8F"/>
    <w:rsid w:val="00341FEC"/>
    <w:rsid w:val="00350991"/>
    <w:rsid w:val="0035539F"/>
    <w:rsid w:val="00355980"/>
    <w:rsid w:val="003753FE"/>
    <w:rsid w:val="00380B57"/>
    <w:rsid w:val="0038213F"/>
    <w:rsid w:val="003A17EC"/>
    <w:rsid w:val="003A7A14"/>
    <w:rsid w:val="003B1750"/>
    <w:rsid w:val="003B26A2"/>
    <w:rsid w:val="003C4BF4"/>
    <w:rsid w:val="003D01D1"/>
    <w:rsid w:val="003D1C21"/>
    <w:rsid w:val="003D27F5"/>
    <w:rsid w:val="003D60EA"/>
    <w:rsid w:val="003E132E"/>
    <w:rsid w:val="003E1751"/>
    <w:rsid w:val="003E50C1"/>
    <w:rsid w:val="003F28FF"/>
    <w:rsid w:val="003F5EF0"/>
    <w:rsid w:val="003F6A51"/>
    <w:rsid w:val="003F6ED0"/>
    <w:rsid w:val="003F79B5"/>
    <w:rsid w:val="003F7A13"/>
    <w:rsid w:val="00400724"/>
    <w:rsid w:val="0040094D"/>
    <w:rsid w:val="00414681"/>
    <w:rsid w:val="00417570"/>
    <w:rsid w:val="00417E34"/>
    <w:rsid w:val="0042554D"/>
    <w:rsid w:val="0042694E"/>
    <w:rsid w:val="0042789E"/>
    <w:rsid w:val="004340DC"/>
    <w:rsid w:val="00436A45"/>
    <w:rsid w:val="00444B31"/>
    <w:rsid w:val="00453B9D"/>
    <w:rsid w:val="00456F40"/>
    <w:rsid w:val="00470945"/>
    <w:rsid w:val="004729FC"/>
    <w:rsid w:val="00472BEA"/>
    <w:rsid w:val="004771F6"/>
    <w:rsid w:val="0048092F"/>
    <w:rsid w:val="00481104"/>
    <w:rsid w:val="00481EA5"/>
    <w:rsid w:val="00483C16"/>
    <w:rsid w:val="0049540F"/>
    <w:rsid w:val="0049541A"/>
    <w:rsid w:val="004A4E75"/>
    <w:rsid w:val="004A75F8"/>
    <w:rsid w:val="004C012F"/>
    <w:rsid w:val="004C473D"/>
    <w:rsid w:val="004C4B8B"/>
    <w:rsid w:val="004C7362"/>
    <w:rsid w:val="004D4E9C"/>
    <w:rsid w:val="004E0D33"/>
    <w:rsid w:val="004E58BB"/>
    <w:rsid w:val="004E6087"/>
    <w:rsid w:val="004F1617"/>
    <w:rsid w:val="004F41E8"/>
    <w:rsid w:val="00512851"/>
    <w:rsid w:val="005215F2"/>
    <w:rsid w:val="005241A8"/>
    <w:rsid w:val="005243A6"/>
    <w:rsid w:val="005247B3"/>
    <w:rsid w:val="0054330C"/>
    <w:rsid w:val="005554D7"/>
    <w:rsid w:val="0056064F"/>
    <w:rsid w:val="00587865"/>
    <w:rsid w:val="00590BD6"/>
    <w:rsid w:val="00592336"/>
    <w:rsid w:val="00597228"/>
    <w:rsid w:val="005978BC"/>
    <w:rsid w:val="00597F18"/>
    <w:rsid w:val="005A33A0"/>
    <w:rsid w:val="005A6BE1"/>
    <w:rsid w:val="005B4AC2"/>
    <w:rsid w:val="005B5A57"/>
    <w:rsid w:val="005C0456"/>
    <w:rsid w:val="005D082C"/>
    <w:rsid w:val="005D7F75"/>
    <w:rsid w:val="005E1715"/>
    <w:rsid w:val="005E29E9"/>
    <w:rsid w:val="005F5998"/>
    <w:rsid w:val="005F6F36"/>
    <w:rsid w:val="006122BF"/>
    <w:rsid w:val="00621F92"/>
    <w:rsid w:val="00622A3A"/>
    <w:rsid w:val="00631672"/>
    <w:rsid w:val="00641920"/>
    <w:rsid w:val="006516A4"/>
    <w:rsid w:val="00655134"/>
    <w:rsid w:val="0065782C"/>
    <w:rsid w:val="00666DC4"/>
    <w:rsid w:val="00675358"/>
    <w:rsid w:val="00681813"/>
    <w:rsid w:val="006A15E6"/>
    <w:rsid w:val="006A1C11"/>
    <w:rsid w:val="006A1FBB"/>
    <w:rsid w:val="006A611C"/>
    <w:rsid w:val="006B067F"/>
    <w:rsid w:val="006C178E"/>
    <w:rsid w:val="006C3816"/>
    <w:rsid w:val="006D42C0"/>
    <w:rsid w:val="006D7694"/>
    <w:rsid w:val="006D7697"/>
    <w:rsid w:val="006E1AB8"/>
    <w:rsid w:val="006E7510"/>
    <w:rsid w:val="006E792B"/>
    <w:rsid w:val="006F2A21"/>
    <w:rsid w:val="00705698"/>
    <w:rsid w:val="00710067"/>
    <w:rsid w:val="00712211"/>
    <w:rsid w:val="0071544E"/>
    <w:rsid w:val="00715F27"/>
    <w:rsid w:val="007236F0"/>
    <w:rsid w:val="00734ECF"/>
    <w:rsid w:val="00737C68"/>
    <w:rsid w:val="0074465B"/>
    <w:rsid w:val="00745613"/>
    <w:rsid w:val="00745A52"/>
    <w:rsid w:val="0074741D"/>
    <w:rsid w:val="00747D8C"/>
    <w:rsid w:val="007525FF"/>
    <w:rsid w:val="00756980"/>
    <w:rsid w:val="00756C49"/>
    <w:rsid w:val="00756FEA"/>
    <w:rsid w:val="00767A37"/>
    <w:rsid w:val="007746EB"/>
    <w:rsid w:val="00782959"/>
    <w:rsid w:val="00786F9A"/>
    <w:rsid w:val="007A09F9"/>
    <w:rsid w:val="007A7E23"/>
    <w:rsid w:val="007B1083"/>
    <w:rsid w:val="007B596F"/>
    <w:rsid w:val="007C03A4"/>
    <w:rsid w:val="007C370E"/>
    <w:rsid w:val="007C5895"/>
    <w:rsid w:val="007C73A0"/>
    <w:rsid w:val="007C7DFF"/>
    <w:rsid w:val="007D2C46"/>
    <w:rsid w:val="007E4028"/>
    <w:rsid w:val="007E40C6"/>
    <w:rsid w:val="007F4130"/>
    <w:rsid w:val="007F4758"/>
    <w:rsid w:val="008001F6"/>
    <w:rsid w:val="008047FB"/>
    <w:rsid w:val="008251C3"/>
    <w:rsid w:val="0083682B"/>
    <w:rsid w:val="00836ECE"/>
    <w:rsid w:val="00840F64"/>
    <w:rsid w:val="00845F1C"/>
    <w:rsid w:val="00847128"/>
    <w:rsid w:val="00847558"/>
    <w:rsid w:val="008567E3"/>
    <w:rsid w:val="00865BC9"/>
    <w:rsid w:val="0087634B"/>
    <w:rsid w:val="008818DC"/>
    <w:rsid w:val="0089150B"/>
    <w:rsid w:val="00891C7A"/>
    <w:rsid w:val="008A6B37"/>
    <w:rsid w:val="008B0524"/>
    <w:rsid w:val="008B72BE"/>
    <w:rsid w:val="008C042B"/>
    <w:rsid w:val="008C0B88"/>
    <w:rsid w:val="008C4FD4"/>
    <w:rsid w:val="008D5347"/>
    <w:rsid w:val="008E0F3D"/>
    <w:rsid w:val="008E1036"/>
    <w:rsid w:val="008E2B4B"/>
    <w:rsid w:val="008E7BF1"/>
    <w:rsid w:val="008F33E4"/>
    <w:rsid w:val="008F414B"/>
    <w:rsid w:val="008F747D"/>
    <w:rsid w:val="00915737"/>
    <w:rsid w:val="009271AE"/>
    <w:rsid w:val="00931727"/>
    <w:rsid w:val="00935EC6"/>
    <w:rsid w:val="00941058"/>
    <w:rsid w:val="009450B6"/>
    <w:rsid w:val="00946C0D"/>
    <w:rsid w:val="00955B47"/>
    <w:rsid w:val="0095779B"/>
    <w:rsid w:val="009615C4"/>
    <w:rsid w:val="00962429"/>
    <w:rsid w:val="00967F5F"/>
    <w:rsid w:val="009762F9"/>
    <w:rsid w:val="00981F53"/>
    <w:rsid w:val="0098227E"/>
    <w:rsid w:val="00986A14"/>
    <w:rsid w:val="00994F76"/>
    <w:rsid w:val="009A1D6F"/>
    <w:rsid w:val="009A46A3"/>
    <w:rsid w:val="009A500F"/>
    <w:rsid w:val="009B0463"/>
    <w:rsid w:val="009C76B1"/>
    <w:rsid w:val="009D529A"/>
    <w:rsid w:val="009D7A49"/>
    <w:rsid w:val="009F067D"/>
    <w:rsid w:val="009F1460"/>
    <w:rsid w:val="009F5368"/>
    <w:rsid w:val="009F6637"/>
    <w:rsid w:val="00A03C56"/>
    <w:rsid w:val="00A05F5D"/>
    <w:rsid w:val="00A138DE"/>
    <w:rsid w:val="00A30E43"/>
    <w:rsid w:val="00A30F16"/>
    <w:rsid w:val="00A376BB"/>
    <w:rsid w:val="00A37E88"/>
    <w:rsid w:val="00A5287F"/>
    <w:rsid w:val="00A54A8F"/>
    <w:rsid w:val="00A60DA9"/>
    <w:rsid w:val="00A6339B"/>
    <w:rsid w:val="00A80C7D"/>
    <w:rsid w:val="00A81614"/>
    <w:rsid w:val="00A92414"/>
    <w:rsid w:val="00A92F80"/>
    <w:rsid w:val="00A976D8"/>
    <w:rsid w:val="00AA3A65"/>
    <w:rsid w:val="00AA450E"/>
    <w:rsid w:val="00AA4A14"/>
    <w:rsid w:val="00AB1212"/>
    <w:rsid w:val="00AB5279"/>
    <w:rsid w:val="00AC3C8B"/>
    <w:rsid w:val="00AD1A37"/>
    <w:rsid w:val="00AD3396"/>
    <w:rsid w:val="00AE0AFA"/>
    <w:rsid w:val="00AE2345"/>
    <w:rsid w:val="00AE3DAF"/>
    <w:rsid w:val="00AE6C0E"/>
    <w:rsid w:val="00B01CFD"/>
    <w:rsid w:val="00B06487"/>
    <w:rsid w:val="00B107CF"/>
    <w:rsid w:val="00B23CBC"/>
    <w:rsid w:val="00B35A88"/>
    <w:rsid w:val="00B4581D"/>
    <w:rsid w:val="00B475D1"/>
    <w:rsid w:val="00B5158B"/>
    <w:rsid w:val="00B51945"/>
    <w:rsid w:val="00B519FC"/>
    <w:rsid w:val="00B567C5"/>
    <w:rsid w:val="00B635D7"/>
    <w:rsid w:val="00B6435F"/>
    <w:rsid w:val="00B71616"/>
    <w:rsid w:val="00B758C1"/>
    <w:rsid w:val="00B763F8"/>
    <w:rsid w:val="00B8521C"/>
    <w:rsid w:val="00B854BE"/>
    <w:rsid w:val="00B9407C"/>
    <w:rsid w:val="00B94E6D"/>
    <w:rsid w:val="00BA070A"/>
    <w:rsid w:val="00BA2047"/>
    <w:rsid w:val="00BA21F2"/>
    <w:rsid w:val="00BA377A"/>
    <w:rsid w:val="00BB15B1"/>
    <w:rsid w:val="00BC1D5E"/>
    <w:rsid w:val="00BC60E9"/>
    <w:rsid w:val="00BD1247"/>
    <w:rsid w:val="00BD7E36"/>
    <w:rsid w:val="00BF1F28"/>
    <w:rsid w:val="00C05950"/>
    <w:rsid w:val="00C078CA"/>
    <w:rsid w:val="00C128DB"/>
    <w:rsid w:val="00C13207"/>
    <w:rsid w:val="00C23E9B"/>
    <w:rsid w:val="00C300AA"/>
    <w:rsid w:val="00C33BCC"/>
    <w:rsid w:val="00C408B1"/>
    <w:rsid w:val="00C46799"/>
    <w:rsid w:val="00C47BBA"/>
    <w:rsid w:val="00C518AC"/>
    <w:rsid w:val="00C55E8C"/>
    <w:rsid w:val="00C5666A"/>
    <w:rsid w:val="00C60F57"/>
    <w:rsid w:val="00C83D28"/>
    <w:rsid w:val="00C90BAB"/>
    <w:rsid w:val="00C943E4"/>
    <w:rsid w:val="00C97571"/>
    <w:rsid w:val="00CA6429"/>
    <w:rsid w:val="00CA75C8"/>
    <w:rsid w:val="00CA7E4D"/>
    <w:rsid w:val="00CC0483"/>
    <w:rsid w:val="00CC2815"/>
    <w:rsid w:val="00CC4FD6"/>
    <w:rsid w:val="00CC779F"/>
    <w:rsid w:val="00CD159E"/>
    <w:rsid w:val="00CD485D"/>
    <w:rsid w:val="00CE1904"/>
    <w:rsid w:val="00CE5AF9"/>
    <w:rsid w:val="00CE70DC"/>
    <w:rsid w:val="00CF232C"/>
    <w:rsid w:val="00D01D22"/>
    <w:rsid w:val="00D100E1"/>
    <w:rsid w:val="00D12005"/>
    <w:rsid w:val="00D16EDC"/>
    <w:rsid w:val="00D208BB"/>
    <w:rsid w:val="00D232EA"/>
    <w:rsid w:val="00D23CF9"/>
    <w:rsid w:val="00D263FD"/>
    <w:rsid w:val="00D310E1"/>
    <w:rsid w:val="00D451AD"/>
    <w:rsid w:val="00D468D4"/>
    <w:rsid w:val="00D47EA1"/>
    <w:rsid w:val="00D53FA9"/>
    <w:rsid w:val="00D630D1"/>
    <w:rsid w:val="00D67A94"/>
    <w:rsid w:val="00D73C24"/>
    <w:rsid w:val="00D818BA"/>
    <w:rsid w:val="00D95483"/>
    <w:rsid w:val="00DB332A"/>
    <w:rsid w:val="00DC058A"/>
    <w:rsid w:val="00DC3644"/>
    <w:rsid w:val="00DC7F71"/>
    <w:rsid w:val="00DD25E4"/>
    <w:rsid w:val="00DD303C"/>
    <w:rsid w:val="00DE429F"/>
    <w:rsid w:val="00DF03FA"/>
    <w:rsid w:val="00DF19C0"/>
    <w:rsid w:val="00DF2FFE"/>
    <w:rsid w:val="00DF6DE8"/>
    <w:rsid w:val="00DF7501"/>
    <w:rsid w:val="00DF7C52"/>
    <w:rsid w:val="00E0755D"/>
    <w:rsid w:val="00E10D32"/>
    <w:rsid w:val="00E14399"/>
    <w:rsid w:val="00E1549B"/>
    <w:rsid w:val="00E15C36"/>
    <w:rsid w:val="00E2557E"/>
    <w:rsid w:val="00E328D8"/>
    <w:rsid w:val="00E50560"/>
    <w:rsid w:val="00E53C25"/>
    <w:rsid w:val="00E61CC6"/>
    <w:rsid w:val="00E70476"/>
    <w:rsid w:val="00E85664"/>
    <w:rsid w:val="00E9697C"/>
    <w:rsid w:val="00E9706C"/>
    <w:rsid w:val="00EA0CAE"/>
    <w:rsid w:val="00EA752A"/>
    <w:rsid w:val="00EB4B67"/>
    <w:rsid w:val="00EC3C6E"/>
    <w:rsid w:val="00EC7526"/>
    <w:rsid w:val="00ED45A5"/>
    <w:rsid w:val="00ED6218"/>
    <w:rsid w:val="00ED73E5"/>
    <w:rsid w:val="00ED7DC5"/>
    <w:rsid w:val="00EE0C5B"/>
    <w:rsid w:val="00EE1440"/>
    <w:rsid w:val="00EE1A3F"/>
    <w:rsid w:val="00EF3A0D"/>
    <w:rsid w:val="00EF445D"/>
    <w:rsid w:val="00EF6565"/>
    <w:rsid w:val="00EF6D85"/>
    <w:rsid w:val="00F05F46"/>
    <w:rsid w:val="00F07444"/>
    <w:rsid w:val="00F139E0"/>
    <w:rsid w:val="00F1504D"/>
    <w:rsid w:val="00F24700"/>
    <w:rsid w:val="00F354CA"/>
    <w:rsid w:val="00F4401A"/>
    <w:rsid w:val="00F44936"/>
    <w:rsid w:val="00F6134C"/>
    <w:rsid w:val="00F67112"/>
    <w:rsid w:val="00F67510"/>
    <w:rsid w:val="00F740CF"/>
    <w:rsid w:val="00F978F0"/>
    <w:rsid w:val="00FA5BA8"/>
    <w:rsid w:val="00FB386C"/>
    <w:rsid w:val="00FB4D85"/>
    <w:rsid w:val="00FB6D1A"/>
    <w:rsid w:val="00FC1164"/>
    <w:rsid w:val="00FC2492"/>
    <w:rsid w:val="00FC52CF"/>
    <w:rsid w:val="00FD27FB"/>
    <w:rsid w:val="00FD654D"/>
    <w:rsid w:val="00FE06BB"/>
    <w:rsid w:val="00FE10B8"/>
    <w:rsid w:val="00FF49B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2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000000" w:themeColor="text1"/>
        <w:sz w:val="21"/>
        <w:szCs w:val="21"/>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34"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14"/>
    <w:lsdException w:name="List Bullet" w:qFormat="1"/>
    <w:lsdException w:name="List Number" w:qFormat="1"/>
    <w:lsdException w:name="List 2" w:uiPriority="14"/>
    <w:lsdException w:name="List 3" w:uiPriority="14"/>
    <w:lsdException w:name="List 4" w:uiPriority="14"/>
    <w:lsdException w:name="List 5" w:uiPriority="14"/>
    <w:lsdException w:name="List Bullet 4" w:uiPriority="14"/>
    <w:lsdException w:name="List Bullet 5" w:uiPriority="14"/>
    <w:lsdException w:name="List Number 2" w:semiHidden="0" w:uiPriority="14" w:unhideWhenUsed="0"/>
    <w:lsdException w:name="List Number 3" w:semiHidden="0" w:uiPriority="14" w:unhideWhenUsed="0"/>
    <w:lsdException w:name="List Number 4" w:uiPriority="14"/>
    <w:lsdException w:name="List Number 5" w:uiPriority="14"/>
    <w:lsdException w:name="Title" w:semiHidden="0" w:uiPriority="10" w:unhideWhenUsed="0" w:qFormat="1"/>
    <w:lsdException w:name="Default Paragraph Font" w:uiPriority="1"/>
    <w:lsdException w:name="Body Text" w:uiPriority="0" w:qFormat="1"/>
    <w:lsdException w:name="List Continue" w:uiPriority="14"/>
    <w:lsdException w:name="List Continue 2" w:uiPriority="14"/>
    <w:lsdException w:name="List Continue 3" w:uiPriority="14"/>
    <w:lsdException w:name="List Continue 4" w:uiPriority="14"/>
    <w:lsdException w:name="List Continue 5" w:uiPriority="14"/>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34"/>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Normal">
    <w:name w:val="Normal"/>
    <w:uiPriority w:val="34"/>
    <w:qFormat/>
    <w:rsid w:val="004729FC"/>
  </w:style>
  <w:style w:type="paragraph" w:styleId="Heading1">
    <w:name w:val="heading 1"/>
    <w:basedOn w:val="Normal"/>
    <w:next w:val="BodyText"/>
    <w:link w:val="Heading1Char"/>
    <w:uiPriority w:val="9"/>
    <w:qFormat/>
    <w:rsid w:val="00470945"/>
    <w:pPr>
      <w:keepNext/>
      <w:keepLines/>
      <w:spacing w:after="120" w:line="400" w:lineRule="exact"/>
      <w:outlineLvl w:val="0"/>
    </w:pPr>
    <w:rPr>
      <w:rFonts w:asciiTheme="majorHAnsi" w:eastAsiaTheme="majorEastAsia" w:hAnsiTheme="majorHAnsi" w:cstheme="majorBidi"/>
      <w:bCs/>
      <w:color w:val="00011F" w:themeColor="text2"/>
      <w:sz w:val="40"/>
      <w:szCs w:val="28"/>
    </w:rPr>
  </w:style>
  <w:style w:type="paragraph" w:styleId="Heading2">
    <w:name w:val="heading 2"/>
    <w:basedOn w:val="Normal"/>
    <w:next w:val="BodyText"/>
    <w:link w:val="Heading2Char"/>
    <w:uiPriority w:val="9"/>
    <w:qFormat/>
    <w:rsid w:val="00470945"/>
    <w:pPr>
      <w:keepNext/>
      <w:keepLines/>
      <w:spacing w:after="60" w:line="360" w:lineRule="exact"/>
      <w:outlineLvl w:val="1"/>
    </w:pPr>
    <w:rPr>
      <w:rFonts w:asciiTheme="majorHAnsi" w:eastAsiaTheme="majorEastAsia" w:hAnsiTheme="majorHAnsi" w:cstheme="majorBidi"/>
      <w:bCs/>
      <w:color w:val="A2978A" w:themeColor="accent1"/>
      <w:sz w:val="36"/>
      <w:szCs w:val="26"/>
    </w:rPr>
  </w:style>
  <w:style w:type="paragraph" w:styleId="Heading3">
    <w:name w:val="heading 3"/>
    <w:basedOn w:val="Normal"/>
    <w:next w:val="BodyText"/>
    <w:link w:val="Heading3Char"/>
    <w:uiPriority w:val="9"/>
    <w:qFormat/>
    <w:rsid w:val="00470945"/>
    <w:pPr>
      <w:keepNext/>
      <w:keepLines/>
      <w:spacing w:after="60" w:line="280" w:lineRule="exact"/>
      <w:outlineLvl w:val="2"/>
    </w:pPr>
    <w:rPr>
      <w:rFonts w:asciiTheme="majorHAnsi" w:eastAsiaTheme="majorEastAsia" w:hAnsiTheme="majorHAnsi" w:cstheme="majorBidi"/>
      <w:bCs/>
      <w:color w:val="00011F" w:themeColor="text2"/>
      <w:sz w:val="28"/>
    </w:rPr>
  </w:style>
  <w:style w:type="paragraph" w:styleId="Heading4">
    <w:name w:val="heading 4"/>
    <w:basedOn w:val="Normal"/>
    <w:next w:val="BodyText"/>
    <w:link w:val="Heading4Char"/>
    <w:uiPriority w:val="9"/>
    <w:unhideWhenUsed/>
    <w:qFormat/>
    <w:rsid w:val="000D7DAE"/>
    <w:pPr>
      <w:keepNext/>
      <w:keepLines/>
      <w:spacing w:after="60" w:line="240" w:lineRule="exact"/>
      <w:outlineLvl w:val="3"/>
    </w:pPr>
    <w:rPr>
      <w:rFonts w:asciiTheme="majorHAnsi" w:eastAsiaTheme="majorEastAsia" w:hAnsiTheme="majorHAnsi" w:cstheme="majorBidi"/>
      <w:bCs/>
      <w:iCs/>
      <w:color w:val="A2978A" w:themeColor="accent1"/>
      <w:sz w:val="24"/>
    </w:rPr>
  </w:style>
  <w:style w:type="paragraph" w:styleId="Heading5">
    <w:name w:val="heading 5"/>
    <w:basedOn w:val="Normal"/>
    <w:next w:val="BodyText"/>
    <w:link w:val="Heading5Char"/>
    <w:uiPriority w:val="9"/>
    <w:semiHidden/>
    <w:unhideWhenUsed/>
    <w:rsid w:val="00E50560"/>
    <w:pPr>
      <w:keepNext/>
      <w:keepLines/>
      <w:spacing w:after="60" w:line="210" w:lineRule="exact"/>
      <w:outlineLvl w:val="4"/>
    </w:pPr>
    <w:rPr>
      <w:rFonts w:asciiTheme="majorHAnsi" w:eastAsiaTheme="majorEastAsia" w:hAnsiTheme="majorHAnsi" w:cstheme="majorBidi"/>
      <w:color w:val="00011F" w:themeColor="text2"/>
    </w:rPr>
  </w:style>
  <w:style w:type="paragraph" w:styleId="Heading6">
    <w:name w:val="heading 6"/>
    <w:basedOn w:val="Normal"/>
    <w:next w:val="BodyText"/>
    <w:link w:val="Heading6Char"/>
    <w:uiPriority w:val="9"/>
    <w:semiHidden/>
    <w:unhideWhenUsed/>
    <w:rsid w:val="002C1E97"/>
    <w:pPr>
      <w:keepNext/>
      <w:keepLines/>
      <w:spacing w:after="60"/>
      <w:outlineLvl w:val="5"/>
    </w:pPr>
    <w:rPr>
      <w:rFonts w:asciiTheme="majorHAnsi" w:eastAsiaTheme="majorEastAsia" w:hAnsiTheme="majorHAnsi" w:cstheme="majorBidi"/>
      <w:iCs/>
    </w:rPr>
  </w:style>
  <w:style w:type="paragraph" w:styleId="Heading7">
    <w:name w:val="heading 7"/>
    <w:basedOn w:val="Normal"/>
    <w:next w:val="BodyText"/>
    <w:link w:val="Heading7Char"/>
    <w:uiPriority w:val="9"/>
    <w:semiHidden/>
    <w:unhideWhenUsed/>
    <w:rsid w:val="002C1E97"/>
    <w:pPr>
      <w:keepNext/>
      <w:keepLines/>
      <w:spacing w:after="60"/>
      <w:outlineLvl w:val="6"/>
    </w:pPr>
    <w:rPr>
      <w:rFonts w:asciiTheme="majorHAnsi" w:eastAsiaTheme="majorEastAsia" w:hAnsiTheme="majorHAnsi" w:cstheme="majorBidi"/>
      <w:iCs/>
    </w:rPr>
  </w:style>
  <w:style w:type="paragraph" w:styleId="Heading8">
    <w:name w:val="heading 8"/>
    <w:basedOn w:val="Normal"/>
    <w:next w:val="BodyText"/>
    <w:link w:val="Heading8Char"/>
    <w:uiPriority w:val="9"/>
    <w:semiHidden/>
    <w:unhideWhenUsed/>
    <w:qFormat/>
    <w:rsid w:val="002C1E97"/>
    <w:pPr>
      <w:keepNext/>
      <w:keepLines/>
      <w:spacing w:after="60"/>
      <w:outlineLvl w:val="7"/>
    </w:pPr>
    <w:rPr>
      <w:rFonts w:asciiTheme="majorHAnsi" w:eastAsiaTheme="majorEastAsia" w:hAnsiTheme="majorHAnsi" w:cstheme="majorBidi"/>
      <w:szCs w:val="20"/>
    </w:rPr>
  </w:style>
  <w:style w:type="paragraph" w:styleId="Heading9">
    <w:name w:val="heading 9"/>
    <w:basedOn w:val="Normal"/>
    <w:next w:val="BodyText"/>
    <w:link w:val="Heading9Char"/>
    <w:uiPriority w:val="9"/>
    <w:semiHidden/>
    <w:unhideWhenUsed/>
    <w:qFormat/>
    <w:rsid w:val="002C1E97"/>
    <w:pPr>
      <w:keepNext/>
      <w:keepLines/>
      <w:spacing w:after="60"/>
      <w:outlineLvl w:val="8"/>
    </w:pPr>
    <w:rPr>
      <w:rFonts w:asciiTheme="majorHAnsi" w:eastAsiaTheme="majorEastAsia" w:hAnsiTheme="majorHAnsi"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C1E97"/>
  </w:style>
  <w:style w:type="character" w:customStyle="1" w:styleId="BodyTextChar">
    <w:name w:val="Body Text Char"/>
    <w:basedOn w:val="DefaultParagraphFont"/>
    <w:link w:val="BodyText"/>
    <w:rsid w:val="00B758C1"/>
  </w:style>
  <w:style w:type="character" w:customStyle="1" w:styleId="Heading1Char">
    <w:name w:val="Heading 1 Char"/>
    <w:basedOn w:val="DefaultParagraphFont"/>
    <w:link w:val="Heading1"/>
    <w:uiPriority w:val="9"/>
    <w:rsid w:val="00470945"/>
    <w:rPr>
      <w:rFonts w:asciiTheme="majorHAnsi" w:eastAsiaTheme="majorEastAsia" w:hAnsiTheme="majorHAnsi" w:cstheme="majorBidi"/>
      <w:bCs/>
      <w:color w:val="00011F" w:themeColor="text2"/>
      <w:sz w:val="40"/>
      <w:szCs w:val="28"/>
    </w:rPr>
  </w:style>
  <w:style w:type="paragraph" w:styleId="TOCHeading">
    <w:name w:val="TOC Heading"/>
    <w:basedOn w:val="Heading1"/>
    <w:next w:val="BodyText"/>
    <w:uiPriority w:val="39"/>
    <w:semiHidden/>
    <w:unhideWhenUsed/>
    <w:qFormat/>
    <w:rsid w:val="00DD303C"/>
    <w:pPr>
      <w:spacing w:before="480" w:after="0" w:line="276" w:lineRule="auto"/>
      <w:outlineLvl w:val="9"/>
    </w:pPr>
  </w:style>
  <w:style w:type="character" w:customStyle="1" w:styleId="Heading2Char">
    <w:name w:val="Heading 2 Char"/>
    <w:basedOn w:val="DefaultParagraphFont"/>
    <w:link w:val="Heading2"/>
    <w:uiPriority w:val="9"/>
    <w:rsid w:val="00470945"/>
    <w:rPr>
      <w:rFonts w:asciiTheme="majorHAnsi" w:eastAsiaTheme="majorEastAsia" w:hAnsiTheme="majorHAnsi" w:cstheme="majorBidi"/>
      <w:bCs/>
      <w:color w:val="A2978A" w:themeColor="accent1"/>
      <w:sz w:val="36"/>
      <w:szCs w:val="26"/>
    </w:rPr>
  </w:style>
  <w:style w:type="character" w:customStyle="1" w:styleId="Heading3Char">
    <w:name w:val="Heading 3 Char"/>
    <w:basedOn w:val="DefaultParagraphFont"/>
    <w:link w:val="Heading3"/>
    <w:uiPriority w:val="9"/>
    <w:rsid w:val="00470945"/>
    <w:rPr>
      <w:rFonts w:asciiTheme="majorHAnsi" w:eastAsiaTheme="majorEastAsia" w:hAnsiTheme="majorHAnsi" w:cstheme="majorBidi"/>
      <w:bCs/>
      <w:color w:val="00011F" w:themeColor="text2"/>
      <w:sz w:val="28"/>
    </w:rPr>
  </w:style>
  <w:style w:type="character" w:customStyle="1" w:styleId="Heading4Char">
    <w:name w:val="Heading 4 Char"/>
    <w:basedOn w:val="DefaultParagraphFont"/>
    <w:link w:val="Heading4"/>
    <w:uiPriority w:val="9"/>
    <w:rsid w:val="000D7DAE"/>
    <w:rPr>
      <w:rFonts w:asciiTheme="majorHAnsi" w:eastAsiaTheme="majorEastAsia" w:hAnsiTheme="majorHAnsi" w:cstheme="majorBidi"/>
      <w:bCs/>
      <w:iCs/>
      <w:color w:val="A2978A" w:themeColor="accent1"/>
      <w:sz w:val="24"/>
    </w:rPr>
  </w:style>
  <w:style w:type="character" w:customStyle="1" w:styleId="Heading5Char">
    <w:name w:val="Heading 5 Char"/>
    <w:basedOn w:val="DefaultParagraphFont"/>
    <w:link w:val="Heading5"/>
    <w:uiPriority w:val="9"/>
    <w:semiHidden/>
    <w:rsid w:val="002649B9"/>
    <w:rPr>
      <w:rFonts w:asciiTheme="majorHAnsi" w:eastAsiaTheme="majorEastAsia" w:hAnsiTheme="majorHAnsi" w:cstheme="majorBidi"/>
      <w:color w:val="00011F" w:themeColor="text2"/>
    </w:rPr>
  </w:style>
  <w:style w:type="character" w:customStyle="1" w:styleId="Heading6Char">
    <w:name w:val="Heading 6 Char"/>
    <w:basedOn w:val="DefaultParagraphFont"/>
    <w:link w:val="Heading6"/>
    <w:uiPriority w:val="9"/>
    <w:semiHidden/>
    <w:rsid w:val="002649B9"/>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2649B9"/>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2C1E97"/>
    <w:rPr>
      <w:rFonts w:asciiTheme="majorHAnsi" w:eastAsiaTheme="majorEastAsia" w:hAnsiTheme="majorHAnsi" w:cstheme="majorBidi"/>
      <w:szCs w:val="20"/>
    </w:rPr>
  </w:style>
  <w:style w:type="character" w:customStyle="1" w:styleId="Heading9Char">
    <w:name w:val="Heading 9 Char"/>
    <w:basedOn w:val="DefaultParagraphFont"/>
    <w:link w:val="Heading9"/>
    <w:uiPriority w:val="9"/>
    <w:semiHidden/>
    <w:rsid w:val="002C1E97"/>
    <w:rPr>
      <w:rFonts w:asciiTheme="majorHAnsi" w:eastAsiaTheme="majorEastAsia" w:hAnsiTheme="majorHAnsi" w:cstheme="majorBidi"/>
      <w:iCs/>
      <w:szCs w:val="20"/>
    </w:rPr>
  </w:style>
  <w:style w:type="paragraph" w:styleId="Title">
    <w:name w:val="Title"/>
    <w:basedOn w:val="Normal"/>
    <w:next w:val="Subtitle"/>
    <w:link w:val="TitleChar"/>
    <w:uiPriority w:val="10"/>
    <w:qFormat/>
    <w:rsid w:val="00036AF8"/>
    <w:pPr>
      <w:pageBreakBefore/>
    </w:pPr>
    <w:rPr>
      <w:rFonts w:asciiTheme="majorHAnsi" w:eastAsiaTheme="majorEastAsia" w:hAnsiTheme="majorHAnsi" w:cstheme="majorBidi"/>
      <w:color w:val="00011F" w:themeColor="text2"/>
      <w:spacing w:val="5"/>
      <w:kern w:val="28"/>
      <w:sz w:val="72"/>
      <w:szCs w:val="52"/>
    </w:rPr>
  </w:style>
  <w:style w:type="character" w:customStyle="1" w:styleId="TitleChar">
    <w:name w:val="Title Char"/>
    <w:basedOn w:val="DefaultParagraphFont"/>
    <w:link w:val="Title"/>
    <w:uiPriority w:val="10"/>
    <w:rsid w:val="00036AF8"/>
    <w:rPr>
      <w:rFonts w:asciiTheme="majorHAnsi" w:eastAsiaTheme="majorEastAsia" w:hAnsiTheme="majorHAnsi" w:cstheme="majorBidi"/>
      <w:color w:val="00011F" w:themeColor="text2"/>
      <w:spacing w:val="5"/>
      <w:kern w:val="28"/>
      <w:sz w:val="72"/>
      <w:szCs w:val="52"/>
    </w:rPr>
  </w:style>
  <w:style w:type="paragraph" w:styleId="Subtitle">
    <w:name w:val="Subtitle"/>
    <w:basedOn w:val="Normal"/>
    <w:next w:val="BodyText"/>
    <w:link w:val="SubtitleChar"/>
    <w:uiPriority w:val="11"/>
    <w:qFormat/>
    <w:rsid w:val="00036AF8"/>
    <w:pPr>
      <w:numPr>
        <w:ilvl w:val="1"/>
      </w:numPr>
    </w:pPr>
    <w:rPr>
      <w:rFonts w:asciiTheme="majorHAnsi" w:eastAsiaTheme="majorEastAsia" w:hAnsiTheme="majorHAnsi" w:cstheme="majorBidi"/>
      <w:iCs/>
      <w:color w:val="A2978A" w:themeColor="accent1"/>
      <w:sz w:val="36"/>
      <w:szCs w:val="24"/>
    </w:rPr>
  </w:style>
  <w:style w:type="character" w:customStyle="1" w:styleId="SubtitleChar">
    <w:name w:val="Subtitle Char"/>
    <w:basedOn w:val="DefaultParagraphFont"/>
    <w:link w:val="Subtitle"/>
    <w:uiPriority w:val="11"/>
    <w:rsid w:val="00036AF8"/>
    <w:rPr>
      <w:rFonts w:asciiTheme="majorHAnsi" w:eastAsiaTheme="majorEastAsia" w:hAnsiTheme="majorHAnsi" w:cstheme="majorBidi"/>
      <w:iCs/>
      <w:color w:val="A2978A" w:themeColor="accent1"/>
      <w:sz w:val="36"/>
      <w:szCs w:val="24"/>
    </w:rPr>
  </w:style>
  <w:style w:type="paragraph" w:styleId="Caption">
    <w:name w:val="caption"/>
    <w:basedOn w:val="Normal"/>
    <w:next w:val="Normal"/>
    <w:uiPriority w:val="35"/>
    <w:semiHidden/>
    <w:unhideWhenUsed/>
    <w:qFormat/>
    <w:rsid w:val="00756FEA"/>
    <w:pPr>
      <w:spacing w:after="0"/>
    </w:pPr>
    <w:rPr>
      <w:b/>
      <w:bCs/>
      <w:sz w:val="18"/>
      <w:szCs w:val="18"/>
    </w:rPr>
  </w:style>
  <w:style w:type="paragraph" w:styleId="BlockText">
    <w:name w:val="Block Text"/>
    <w:basedOn w:val="Normal"/>
    <w:uiPriority w:val="99"/>
    <w:semiHidden/>
    <w:unhideWhenUsed/>
    <w:rsid w:val="00756FEA"/>
    <w:pPr>
      <w:pBdr>
        <w:top w:val="single" w:sz="2" w:space="10" w:color="auto"/>
        <w:left w:val="single" w:sz="2" w:space="10" w:color="auto"/>
        <w:bottom w:val="single" w:sz="2" w:space="10" w:color="auto"/>
        <w:right w:val="single" w:sz="2" w:space="10" w:color="auto"/>
      </w:pBdr>
      <w:ind w:left="1152" w:right="1152"/>
    </w:pPr>
    <w:rPr>
      <w:rFonts w:eastAsiaTheme="minorEastAsia"/>
      <w:i/>
      <w:iCs/>
      <w:sz w:val="22"/>
      <w:szCs w:val="22"/>
    </w:rPr>
  </w:style>
  <w:style w:type="character" w:styleId="IntenseEmphasis">
    <w:name w:val="Intense Emphasis"/>
    <w:basedOn w:val="DefaultParagraphFont"/>
    <w:uiPriority w:val="21"/>
    <w:qFormat/>
    <w:rsid w:val="00756FEA"/>
    <w:rPr>
      <w:b/>
      <w:bCs/>
      <w:i/>
      <w:iCs/>
      <w:color w:val="auto"/>
      <w:u w:val="none"/>
    </w:rPr>
  </w:style>
  <w:style w:type="paragraph" w:styleId="IntenseQuote">
    <w:name w:val="Intense Quote"/>
    <w:basedOn w:val="Normal"/>
    <w:next w:val="Normal"/>
    <w:link w:val="IntenseQuoteChar"/>
    <w:uiPriority w:val="30"/>
    <w:semiHidden/>
    <w:unhideWhenUsed/>
    <w:qFormat/>
    <w:rsid w:val="00756FEA"/>
    <w:pPr>
      <w:pBdr>
        <w:bottom w:val="single" w:sz="4" w:space="4" w:color="auto"/>
      </w:pBdr>
      <w:ind w:left="936" w:right="936"/>
    </w:pPr>
    <w:rPr>
      <w:b/>
      <w:bCs/>
      <w:i/>
      <w:iCs/>
      <w:sz w:val="22"/>
      <w:szCs w:val="22"/>
    </w:rPr>
  </w:style>
  <w:style w:type="character" w:customStyle="1" w:styleId="IntenseQuoteChar">
    <w:name w:val="Intense Quote Char"/>
    <w:basedOn w:val="DefaultParagraphFont"/>
    <w:link w:val="IntenseQuote"/>
    <w:uiPriority w:val="30"/>
    <w:semiHidden/>
    <w:rsid w:val="00DD303C"/>
    <w:rPr>
      <w:b/>
      <w:bCs/>
      <w:i/>
      <w:iCs/>
      <w:sz w:val="22"/>
      <w:szCs w:val="22"/>
    </w:rPr>
  </w:style>
  <w:style w:type="character" w:styleId="IntenseReference">
    <w:name w:val="Intense Reference"/>
    <w:basedOn w:val="DefaultParagraphFont"/>
    <w:uiPriority w:val="32"/>
    <w:semiHidden/>
    <w:unhideWhenUsed/>
    <w:qFormat/>
    <w:rsid w:val="00756FEA"/>
    <w:rPr>
      <w:b/>
      <w:bCs/>
      <w:i w:val="0"/>
      <w:smallCaps/>
      <w:color w:val="auto"/>
      <w:spacing w:val="5"/>
      <w:u w:val="none"/>
    </w:rPr>
  </w:style>
  <w:style w:type="character" w:styleId="SubtleEmphasis">
    <w:name w:val="Subtle Emphasis"/>
    <w:basedOn w:val="DefaultParagraphFont"/>
    <w:uiPriority w:val="19"/>
    <w:semiHidden/>
    <w:unhideWhenUsed/>
    <w:qFormat/>
    <w:rsid w:val="00756FEA"/>
    <w:rPr>
      <w:b w:val="0"/>
      <w:i/>
      <w:iCs/>
      <w:color w:val="auto"/>
      <w:u w:val="none"/>
    </w:rPr>
  </w:style>
  <w:style w:type="character" w:styleId="SubtleReference">
    <w:name w:val="Subtle Reference"/>
    <w:basedOn w:val="DefaultParagraphFont"/>
    <w:uiPriority w:val="31"/>
    <w:semiHidden/>
    <w:unhideWhenUsed/>
    <w:qFormat/>
    <w:rsid w:val="00756FEA"/>
    <w:rPr>
      <w:b w:val="0"/>
      <w:i w:val="0"/>
      <w:smallCaps/>
      <w:color w:val="auto"/>
      <w:u w:val="single"/>
    </w:rPr>
  </w:style>
  <w:style w:type="paragraph" w:styleId="ListBullet">
    <w:name w:val="List Bullet"/>
    <w:basedOn w:val="Normal"/>
    <w:uiPriority w:val="14"/>
    <w:qFormat/>
    <w:rsid w:val="00ED73E5"/>
    <w:pPr>
      <w:numPr>
        <w:numId w:val="11"/>
      </w:numPr>
    </w:pPr>
  </w:style>
  <w:style w:type="paragraph" w:styleId="ListBullet2">
    <w:name w:val="List Bullet 2"/>
    <w:basedOn w:val="Normal"/>
    <w:uiPriority w:val="14"/>
    <w:rsid w:val="00ED73E5"/>
    <w:pPr>
      <w:numPr>
        <w:ilvl w:val="1"/>
        <w:numId w:val="11"/>
      </w:numPr>
    </w:pPr>
  </w:style>
  <w:style w:type="paragraph" w:styleId="ListBullet3">
    <w:name w:val="List Bullet 3"/>
    <w:basedOn w:val="Normal"/>
    <w:uiPriority w:val="14"/>
    <w:rsid w:val="00ED73E5"/>
    <w:pPr>
      <w:numPr>
        <w:ilvl w:val="2"/>
        <w:numId w:val="11"/>
      </w:numPr>
    </w:pPr>
  </w:style>
  <w:style w:type="table" w:styleId="TableGrid">
    <w:name w:val="Table Grid"/>
    <w:basedOn w:val="TableNormal"/>
    <w:uiPriority w:val="59"/>
    <w:rsid w:val="00B635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B758C1"/>
    <w:rPr>
      <w:b/>
      <w:bCs/>
    </w:rPr>
  </w:style>
  <w:style w:type="paragraph" w:styleId="ListNumber">
    <w:name w:val="List Number"/>
    <w:basedOn w:val="Normal"/>
    <w:uiPriority w:val="14"/>
    <w:qFormat/>
    <w:rsid w:val="00ED73E5"/>
    <w:pPr>
      <w:numPr>
        <w:numId w:val="15"/>
      </w:numPr>
    </w:pPr>
  </w:style>
  <w:style w:type="paragraph" w:customStyle="1" w:styleId="BodySingle">
    <w:name w:val="Body Single"/>
    <w:basedOn w:val="BodyText"/>
    <w:link w:val="BodySingleChar"/>
    <w:uiPriority w:val="1"/>
    <w:qFormat/>
    <w:rsid w:val="00B758C1"/>
    <w:pPr>
      <w:spacing w:after="0"/>
    </w:pPr>
  </w:style>
  <w:style w:type="character" w:customStyle="1" w:styleId="BodySingleChar">
    <w:name w:val="Body Single Char"/>
    <w:basedOn w:val="BodyTextChar"/>
    <w:link w:val="BodySingle"/>
    <w:uiPriority w:val="1"/>
    <w:rsid w:val="00B758C1"/>
  </w:style>
  <w:style w:type="paragraph" w:styleId="ListParagraph">
    <w:name w:val="List Paragraph"/>
    <w:basedOn w:val="Normal"/>
    <w:uiPriority w:val="34"/>
    <w:semiHidden/>
    <w:unhideWhenUsed/>
    <w:qFormat/>
    <w:rsid w:val="0029269A"/>
    <w:pPr>
      <w:ind w:left="720"/>
      <w:contextualSpacing/>
    </w:pPr>
  </w:style>
  <w:style w:type="paragraph" w:styleId="Header">
    <w:name w:val="header"/>
    <w:basedOn w:val="Normal"/>
    <w:link w:val="HeaderChar"/>
    <w:uiPriority w:val="99"/>
    <w:semiHidden/>
    <w:unhideWhenUsed/>
    <w:rsid w:val="00436A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36A45"/>
  </w:style>
  <w:style w:type="paragraph" w:styleId="Footer">
    <w:name w:val="footer"/>
    <w:basedOn w:val="Normal"/>
    <w:link w:val="FooterChar"/>
    <w:uiPriority w:val="99"/>
    <w:semiHidden/>
    <w:unhideWhenUsed/>
    <w:rsid w:val="00436A4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36A45"/>
  </w:style>
  <w:style w:type="table" w:styleId="LightShading-Accent2">
    <w:name w:val="Light Shading Accent 2"/>
    <w:basedOn w:val="TableNormal"/>
    <w:uiPriority w:val="60"/>
    <w:rsid w:val="000D7DAE"/>
    <w:pPr>
      <w:spacing w:after="0" w:line="240" w:lineRule="auto"/>
    </w:pPr>
    <w:rPr>
      <w:color w:val="83756D" w:themeColor="accent2" w:themeShade="BF"/>
    </w:rPr>
    <w:tblPr>
      <w:tblStyleRowBandSize w:val="1"/>
      <w:tblStyleColBandSize w:val="1"/>
      <w:tblInd w:w="0" w:type="dxa"/>
      <w:tblBorders>
        <w:top w:val="single" w:sz="8" w:space="0" w:color="AA9F98" w:themeColor="accent2"/>
        <w:bottom w:val="single" w:sz="8" w:space="0" w:color="AA9F98"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A9F98" w:themeColor="accent2"/>
          <w:left w:val="nil"/>
          <w:bottom w:val="single" w:sz="8" w:space="0" w:color="AA9F98" w:themeColor="accent2"/>
          <w:right w:val="nil"/>
          <w:insideH w:val="nil"/>
          <w:insideV w:val="nil"/>
        </w:tcBorders>
      </w:tcPr>
    </w:tblStylePr>
    <w:tblStylePr w:type="lastRow">
      <w:pPr>
        <w:spacing w:before="0" w:after="0" w:line="240" w:lineRule="auto"/>
      </w:pPr>
      <w:rPr>
        <w:b/>
        <w:bCs/>
      </w:rPr>
      <w:tblPr/>
      <w:tcPr>
        <w:tcBorders>
          <w:top w:val="single" w:sz="8" w:space="0" w:color="AA9F98" w:themeColor="accent2"/>
          <w:left w:val="nil"/>
          <w:bottom w:val="single" w:sz="8" w:space="0" w:color="AA9F9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7E5" w:themeFill="accent2" w:themeFillTint="3F"/>
      </w:tcPr>
    </w:tblStylePr>
    <w:tblStylePr w:type="band1Horz">
      <w:tblPr/>
      <w:tcPr>
        <w:tcBorders>
          <w:left w:val="nil"/>
          <w:right w:val="nil"/>
          <w:insideH w:val="nil"/>
          <w:insideV w:val="nil"/>
        </w:tcBorders>
        <w:shd w:val="clear" w:color="auto" w:fill="EAE7E5" w:themeFill="accent2" w:themeFillTint="3F"/>
      </w:tcPr>
    </w:tblStylePr>
  </w:style>
  <w:style w:type="table" w:styleId="MediumShading1-Accent4">
    <w:name w:val="Medium Shading 1 Accent 4"/>
    <w:basedOn w:val="TableNormal"/>
    <w:uiPriority w:val="63"/>
    <w:rsid w:val="000D7DAE"/>
    <w:pPr>
      <w:spacing w:after="0" w:line="240" w:lineRule="auto"/>
    </w:pPr>
    <w:tblPr>
      <w:tblStyleRowBandSize w:val="1"/>
      <w:tblStyleColBandSize w:val="1"/>
      <w:tblInd w:w="0" w:type="dxa"/>
      <w:tblBorders>
        <w:top w:val="single" w:sz="8" w:space="0" w:color="E5E2E0" w:themeColor="accent4" w:themeTint="BF"/>
        <w:left w:val="single" w:sz="8" w:space="0" w:color="E5E2E0" w:themeColor="accent4" w:themeTint="BF"/>
        <w:bottom w:val="single" w:sz="8" w:space="0" w:color="E5E2E0" w:themeColor="accent4" w:themeTint="BF"/>
        <w:right w:val="single" w:sz="8" w:space="0" w:color="E5E2E0" w:themeColor="accent4" w:themeTint="BF"/>
        <w:insideH w:val="single" w:sz="8" w:space="0" w:color="E5E2E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5E2E0" w:themeColor="accent4" w:themeTint="BF"/>
          <w:left w:val="single" w:sz="8" w:space="0" w:color="E5E2E0" w:themeColor="accent4" w:themeTint="BF"/>
          <w:bottom w:val="single" w:sz="8" w:space="0" w:color="E5E2E0" w:themeColor="accent4" w:themeTint="BF"/>
          <w:right w:val="single" w:sz="8" w:space="0" w:color="E5E2E0" w:themeColor="accent4" w:themeTint="BF"/>
          <w:insideH w:val="nil"/>
          <w:insideV w:val="nil"/>
        </w:tcBorders>
        <w:shd w:val="clear" w:color="auto" w:fill="DDD9D6" w:themeFill="accent4"/>
      </w:tcPr>
    </w:tblStylePr>
    <w:tblStylePr w:type="lastRow">
      <w:pPr>
        <w:spacing w:before="0" w:after="0" w:line="240" w:lineRule="auto"/>
      </w:pPr>
      <w:rPr>
        <w:b/>
        <w:bCs/>
      </w:rPr>
      <w:tblPr/>
      <w:tcPr>
        <w:tcBorders>
          <w:top w:val="double" w:sz="6" w:space="0" w:color="E5E2E0" w:themeColor="accent4" w:themeTint="BF"/>
          <w:left w:val="single" w:sz="8" w:space="0" w:color="E5E2E0" w:themeColor="accent4" w:themeTint="BF"/>
          <w:bottom w:val="single" w:sz="8" w:space="0" w:color="E5E2E0" w:themeColor="accent4" w:themeTint="BF"/>
          <w:right w:val="single" w:sz="8" w:space="0" w:color="E5E2E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6F5F4" w:themeFill="accent4" w:themeFillTint="3F"/>
      </w:tcPr>
    </w:tblStylePr>
    <w:tblStylePr w:type="band1Horz">
      <w:tblPr/>
      <w:tcPr>
        <w:tcBorders>
          <w:insideH w:val="nil"/>
          <w:insideV w:val="nil"/>
        </w:tcBorders>
        <w:shd w:val="clear" w:color="auto" w:fill="F6F5F4" w:themeFill="accent4" w:themeFillTint="3F"/>
      </w:tcPr>
    </w:tblStylePr>
    <w:tblStylePr w:type="band2Horz">
      <w:tblPr/>
      <w:tcPr>
        <w:tcBorders>
          <w:insideH w:val="nil"/>
          <w:insideV w:val="nil"/>
        </w:tcBorders>
      </w:tcPr>
    </w:tblStylePr>
  </w:style>
  <w:style w:type="table" w:customStyle="1" w:styleId="MediumShading11">
    <w:name w:val="Medium Shading 11"/>
    <w:basedOn w:val="TableNormal"/>
    <w:uiPriority w:val="63"/>
    <w:rsid w:val="000D7DAE"/>
    <w:pPr>
      <w:spacing w:after="0" w:line="240" w:lineRule="auto"/>
    </w:pPr>
    <w:rPr>
      <w:sz w:val="16"/>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D7DAE"/>
    <w:pPr>
      <w:spacing w:after="0" w:line="240" w:lineRule="auto"/>
    </w:pPr>
    <w:tblPr>
      <w:tblStyleRowBandSize w:val="1"/>
      <w:tblStyleColBandSize w:val="1"/>
      <w:tblInd w:w="0" w:type="dxa"/>
      <w:tblBorders>
        <w:top w:val="single" w:sz="8" w:space="0" w:color="B9B1A7" w:themeColor="accent1" w:themeTint="BF"/>
        <w:left w:val="single" w:sz="8" w:space="0" w:color="B9B1A7" w:themeColor="accent1" w:themeTint="BF"/>
        <w:bottom w:val="single" w:sz="8" w:space="0" w:color="B9B1A7" w:themeColor="accent1" w:themeTint="BF"/>
        <w:right w:val="single" w:sz="8" w:space="0" w:color="B9B1A7" w:themeColor="accent1" w:themeTint="BF"/>
        <w:insideH w:val="single" w:sz="8" w:space="0" w:color="B9B1A7"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9B1A7" w:themeColor="accent1" w:themeTint="BF"/>
          <w:left w:val="single" w:sz="8" w:space="0" w:color="B9B1A7" w:themeColor="accent1" w:themeTint="BF"/>
          <w:bottom w:val="single" w:sz="8" w:space="0" w:color="B9B1A7" w:themeColor="accent1" w:themeTint="BF"/>
          <w:right w:val="single" w:sz="8" w:space="0" w:color="B9B1A7" w:themeColor="accent1" w:themeTint="BF"/>
          <w:insideH w:val="nil"/>
          <w:insideV w:val="nil"/>
        </w:tcBorders>
        <w:shd w:val="clear" w:color="auto" w:fill="A2978A" w:themeFill="accent1"/>
      </w:tcPr>
    </w:tblStylePr>
    <w:tblStylePr w:type="lastRow">
      <w:pPr>
        <w:spacing w:before="0" w:after="0" w:line="240" w:lineRule="auto"/>
      </w:pPr>
      <w:rPr>
        <w:b/>
        <w:bCs/>
      </w:rPr>
      <w:tblPr/>
      <w:tcPr>
        <w:tcBorders>
          <w:top w:val="double" w:sz="6" w:space="0" w:color="B9B1A7" w:themeColor="accent1" w:themeTint="BF"/>
          <w:left w:val="single" w:sz="8" w:space="0" w:color="B9B1A7" w:themeColor="accent1" w:themeTint="BF"/>
          <w:bottom w:val="single" w:sz="8" w:space="0" w:color="B9B1A7" w:themeColor="accent1" w:themeTint="BF"/>
          <w:right w:val="single" w:sz="8" w:space="0" w:color="B9B1A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8E5E2" w:themeFill="accent1" w:themeFillTint="3F"/>
      </w:tcPr>
    </w:tblStylePr>
    <w:tblStylePr w:type="band1Horz">
      <w:tblPr/>
      <w:tcPr>
        <w:tcBorders>
          <w:insideH w:val="nil"/>
          <w:insideV w:val="nil"/>
        </w:tcBorders>
        <w:shd w:val="clear" w:color="auto" w:fill="E8E5E2" w:themeFill="accent1" w:themeFillTint="3F"/>
      </w:tcPr>
    </w:tblStylePr>
    <w:tblStylePr w:type="band2Horz">
      <w:tblPr/>
      <w:tcPr>
        <w:tcBorders>
          <w:insideH w:val="nil"/>
          <w:insideV w:val="nil"/>
        </w:tcBorders>
      </w:tcPr>
    </w:tblStylePr>
  </w:style>
  <w:style w:type="table" w:customStyle="1" w:styleId="LightList1">
    <w:name w:val="Light List1"/>
    <w:basedOn w:val="TableNormal"/>
    <w:uiPriority w:val="61"/>
    <w:rsid w:val="000D7DAE"/>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0D7DAE"/>
    <w:pPr>
      <w:spacing w:after="0" w:line="240" w:lineRule="auto"/>
    </w:pPr>
    <w:tblPr>
      <w:tblStyleRowBandSize w:val="1"/>
      <w:tblStyleColBandSize w:val="1"/>
      <w:tblInd w:w="0" w:type="dxa"/>
      <w:tblBorders>
        <w:top w:val="single" w:sz="8" w:space="0" w:color="A2978A" w:themeColor="accent1"/>
        <w:left w:val="single" w:sz="8" w:space="0" w:color="A2978A" w:themeColor="accent1"/>
        <w:bottom w:val="single" w:sz="8" w:space="0" w:color="A2978A" w:themeColor="accent1"/>
        <w:right w:val="single" w:sz="8" w:space="0" w:color="A2978A"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2978A" w:themeFill="accent1"/>
      </w:tcPr>
    </w:tblStylePr>
    <w:tblStylePr w:type="lastRow">
      <w:pPr>
        <w:spacing w:before="0" w:after="0" w:line="240" w:lineRule="auto"/>
      </w:pPr>
      <w:rPr>
        <w:b/>
        <w:bCs/>
      </w:rPr>
      <w:tblPr/>
      <w:tcPr>
        <w:tcBorders>
          <w:top w:val="double" w:sz="6" w:space="0" w:color="A2978A" w:themeColor="accent1"/>
          <w:left w:val="single" w:sz="8" w:space="0" w:color="A2978A" w:themeColor="accent1"/>
          <w:bottom w:val="single" w:sz="8" w:space="0" w:color="A2978A" w:themeColor="accent1"/>
          <w:right w:val="single" w:sz="8" w:space="0" w:color="A2978A" w:themeColor="accent1"/>
        </w:tcBorders>
      </w:tcPr>
    </w:tblStylePr>
    <w:tblStylePr w:type="firstCol">
      <w:rPr>
        <w:b/>
        <w:bCs/>
      </w:rPr>
    </w:tblStylePr>
    <w:tblStylePr w:type="lastCol">
      <w:rPr>
        <w:b/>
        <w:bCs/>
      </w:rPr>
    </w:tblStylePr>
    <w:tblStylePr w:type="band1Vert">
      <w:tblPr/>
      <w:tcPr>
        <w:tcBorders>
          <w:top w:val="single" w:sz="8" w:space="0" w:color="A2978A" w:themeColor="accent1"/>
          <w:left w:val="single" w:sz="8" w:space="0" w:color="A2978A" w:themeColor="accent1"/>
          <w:bottom w:val="single" w:sz="8" w:space="0" w:color="A2978A" w:themeColor="accent1"/>
          <w:right w:val="single" w:sz="8" w:space="0" w:color="A2978A" w:themeColor="accent1"/>
        </w:tcBorders>
      </w:tcPr>
    </w:tblStylePr>
    <w:tblStylePr w:type="band1Horz">
      <w:tblPr/>
      <w:tcPr>
        <w:tcBorders>
          <w:top w:val="single" w:sz="8" w:space="0" w:color="A2978A" w:themeColor="accent1"/>
          <w:left w:val="single" w:sz="8" w:space="0" w:color="A2978A" w:themeColor="accent1"/>
          <w:bottom w:val="single" w:sz="8" w:space="0" w:color="A2978A" w:themeColor="accent1"/>
          <w:right w:val="single" w:sz="8" w:space="0" w:color="A2978A" w:themeColor="accent1"/>
        </w:tcBorders>
      </w:tcPr>
    </w:tblStylePr>
  </w:style>
  <w:style w:type="paragraph" w:customStyle="1" w:styleId="SectionHeading">
    <w:name w:val="Section Heading"/>
    <w:basedOn w:val="Heading1"/>
    <w:next w:val="BodyText"/>
    <w:uiPriority w:val="12"/>
    <w:qFormat/>
    <w:rsid w:val="0054330C"/>
    <w:pPr>
      <w:pageBreakBefore/>
      <w:framePr w:w="10478" w:wrap="notBeside" w:vAnchor="page" w:hAnchor="margin" w:y="1135"/>
      <w:spacing w:line="720" w:lineRule="exact"/>
    </w:pPr>
    <w:rPr>
      <w:sz w:val="72"/>
    </w:rPr>
  </w:style>
  <w:style w:type="paragraph" w:customStyle="1" w:styleId="Logo">
    <w:name w:val="Logo"/>
    <w:basedOn w:val="Normal"/>
    <w:next w:val="BodyText"/>
    <w:uiPriority w:val="15"/>
    <w:unhideWhenUsed/>
    <w:qFormat/>
    <w:rsid w:val="000B3C73"/>
    <w:pPr>
      <w:spacing w:after="0" w:line="204" w:lineRule="auto"/>
      <w:jc w:val="right"/>
    </w:pPr>
    <w:rPr>
      <w:rFonts w:ascii="PwC_Logo" w:hAnsi="PwC_Logo"/>
      <w:color w:val="00011F" w:themeColor="text2"/>
      <w:sz w:val="48"/>
      <w:szCs w:val="48"/>
    </w:rPr>
  </w:style>
  <w:style w:type="paragraph" w:styleId="ListNumber2">
    <w:name w:val="List Number 2"/>
    <w:basedOn w:val="Normal"/>
    <w:uiPriority w:val="14"/>
    <w:rsid w:val="00ED73E5"/>
    <w:pPr>
      <w:numPr>
        <w:ilvl w:val="1"/>
        <w:numId w:val="15"/>
      </w:numPr>
    </w:pPr>
  </w:style>
  <w:style w:type="paragraph" w:styleId="ListNumber3">
    <w:name w:val="List Number 3"/>
    <w:basedOn w:val="Normal"/>
    <w:uiPriority w:val="14"/>
    <w:rsid w:val="00ED73E5"/>
    <w:pPr>
      <w:numPr>
        <w:ilvl w:val="2"/>
        <w:numId w:val="15"/>
      </w:numPr>
    </w:pPr>
  </w:style>
  <w:style w:type="table" w:customStyle="1" w:styleId="PwCTable1">
    <w:name w:val="PwC Table 1"/>
    <w:basedOn w:val="TableNormal"/>
    <w:uiPriority w:val="99"/>
    <w:qFormat/>
    <w:rsid w:val="007746EB"/>
    <w:pPr>
      <w:spacing w:after="0" w:line="240" w:lineRule="auto"/>
    </w:pPr>
    <w:rPr>
      <w:sz w:val="18"/>
      <w:szCs w:val="22"/>
    </w:rPr>
    <w:tblPr>
      <w:tblStyleRowBandSize w:val="1"/>
      <w:tblInd w:w="0" w:type="dxa"/>
      <w:tblBorders>
        <w:bottom w:val="single" w:sz="4" w:space="0" w:color="A2978A" w:themeColor="accent1"/>
        <w:insideH w:val="single" w:sz="4" w:space="0" w:color="A2978A" w:themeColor="accent1"/>
      </w:tblBorders>
      <w:tblCellMar>
        <w:top w:w="57" w:type="dxa"/>
        <w:left w:w="0" w:type="dxa"/>
        <w:bottom w:w="57" w:type="dxa"/>
        <w:right w:w="0" w:type="dxa"/>
      </w:tblCellMar>
    </w:tblPr>
    <w:tblStylePr w:type="firstRow">
      <w:pPr>
        <w:wordWrap/>
        <w:spacing w:beforeLines="0" w:beforeAutospacing="0" w:afterLines="0" w:afterAutospacing="0" w:line="210" w:lineRule="atLeast"/>
        <w:contextualSpacing w:val="0"/>
      </w:pPr>
      <w:rPr>
        <w:rFonts w:asciiTheme="majorHAnsi" w:hAnsiTheme="majorHAnsi"/>
        <w:b/>
        <w:color w:val="A2978A" w:themeColor="accent1"/>
        <w:sz w:val="18"/>
      </w:rPr>
      <w:tblPr/>
      <w:tcPr>
        <w:tcBorders>
          <w:top w:val="nil"/>
          <w:left w:val="nil"/>
          <w:bottom w:val="single" w:sz="8" w:space="0" w:color="00011F" w:themeColor="text2"/>
          <w:right w:val="nil"/>
          <w:insideH w:val="nil"/>
          <w:insideV w:val="nil"/>
          <w:tl2br w:val="nil"/>
          <w:tr2bl w:val="nil"/>
        </w:tcBorders>
      </w:tcPr>
    </w:tblStylePr>
    <w:tblStylePr w:type="lastRow">
      <w:tblPr/>
      <w:tcPr>
        <w:tcBorders>
          <w:top w:val="nil"/>
          <w:left w:val="nil"/>
          <w:bottom w:val="single" w:sz="4" w:space="0" w:color="A2978A" w:themeColor="accent1"/>
          <w:right w:val="nil"/>
          <w:insideH w:val="nil"/>
          <w:insideV w:val="nil"/>
          <w:tl2br w:val="nil"/>
          <w:tr2bl w:val="nil"/>
        </w:tcBorders>
      </w:tcPr>
    </w:tblStylePr>
    <w:tblStylePr w:type="band1Horz">
      <w:pPr>
        <w:wordWrap/>
        <w:spacing w:beforeLines="0" w:beforeAutospacing="0" w:afterLines="0" w:afterAutospacing="0" w:line="210" w:lineRule="atLeast"/>
      </w:pPr>
    </w:tblStylePr>
    <w:tblStylePr w:type="band2Horz">
      <w:pPr>
        <w:wordWrap/>
        <w:spacing w:beforeLines="0" w:beforeAutospacing="0" w:afterLines="0" w:afterAutospacing="0" w:line="210" w:lineRule="atLeast"/>
      </w:pPr>
    </w:tblStylePr>
  </w:style>
  <w:style w:type="numbering" w:customStyle="1" w:styleId="PwCListBullets1">
    <w:name w:val="PwC List Bullets 1"/>
    <w:uiPriority w:val="99"/>
    <w:rsid w:val="00ED73E5"/>
    <w:pPr>
      <w:numPr>
        <w:numId w:val="11"/>
      </w:numPr>
    </w:pPr>
  </w:style>
  <w:style w:type="numbering" w:customStyle="1" w:styleId="PwCListNumbers1">
    <w:name w:val="PwC List Numbers 1"/>
    <w:uiPriority w:val="99"/>
    <w:rsid w:val="00ED73E5"/>
    <w:pPr>
      <w:numPr>
        <w:numId w:val="15"/>
      </w:numPr>
    </w:pPr>
  </w:style>
  <w:style w:type="paragraph" w:styleId="ListBullet4">
    <w:name w:val="List Bullet 4"/>
    <w:basedOn w:val="Normal"/>
    <w:uiPriority w:val="14"/>
    <w:semiHidden/>
    <w:unhideWhenUsed/>
    <w:rsid w:val="00ED73E5"/>
    <w:pPr>
      <w:numPr>
        <w:ilvl w:val="3"/>
        <w:numId w:val="11"/>
      </w:numPr>
    </w:pPr>
  </w:style>
  <w:style w:type="paragraph" w:styleId="ListContinue">
    <w:name w:val="List Continue"/>
    <w:basedOn w:val="Normal"/>
    <w:uiPriority w:val="14"/>
    <w:unhideWhenUsed/>
    <w:rsid w:val="00EE0C5B"/>
    <w:pPr>
      <w:ind w:left="397"/>
    </w:pPr>
  </w:style>
  <w:style w:type="paragraph" w:styleId="ListContinue2">
    <w:name w:val="List Continue 2"/>
    <w:basedOn w:val="Normal"/>
    <w:uiPriority w:val="14"/>
    <w:unhideWhenUsed/>
    <w:rsid w:val="00EE0C5B"/>
    <w:pPr>
      <w:ind w:left="794"/>
    </w:pPr>
  </w:style>
  <w:style w:type="paragraph" w:styleId="List3">
    <w:name w:val="List 3"/>
    <w:basedOn w:val="Normal"/>
    <w:uiPriority w:val="14"/>
    <w:rsid w:val="00EE0C5B"/>
    <w:pPr>
      <w:ind w:left="1191" w:hanging="397"/>
    </w:pPr>
  </w:style>
  <w:style w:type="paragraph" w:styleId="List4">
    <w:name w:val="List 4"/>
    <w:basedOn w:val="Normal"/>
    <w:uiPriority w:val="14"/>
    <w:semiHidden/>
    <w:unhideWhenUsed/>
    <w:rsid w:val="00EE0C5B"/>
    <w:pPr>
      <w:ind w:left="1588" w:hanging="397"/>
    </w:pPr>
  </w:style>
  <w:style w:type="paragraph" w:styleId="List5">
    <w:name w:val="List 5"/>
    <w:basedOn w:val="Normal"/>
    <w:uiPriority w:val="14"/>
    <w:semiHidden/>
    <w:unhideWhenUsed/>
    <w:rsid w:val="00EE0C5B"/>
    <w:pPr>
      <w:ind w:left="1985" w:hanging="397"/>
    </w:pPr>
  </w:style>
  <w:style w:type="paragraph" w:styleId="ListContinue3">
    <w:name w:val="List Continue 3"/>
    <w:basedOn w:val="Normal"/>
    <w:uiPriority w:val="14"/>
    <w:unhideWhenUsed/>
    <w:rsid w:val="003B26A2"/>
    <w:pPr>
      <w:ind w:left="1191"/>
    </w:pPr>
  </w:style>
  <w:style w:type="paragraph" w:styleId="ListContinue4">
    <w:name w:val="List Continue 4"/>
    <w:basedOn w:val="Normal"/>
    <w:uiPriority w:val="14"/>
    <w:semiHidden/>
    <w:unhideWhenUsed/>
    <w:rsid w:val="003B26A2"/>
    <w:pPr>
      <w:ind w:left="1588"/>
    </w:pPr>
  </w:style>
  <w:style w:type="paragraph" w:styleId="ListContinue5">
    <w:name w:val="List Continue 5"/>
    <w:basedOn w:val="Normal"/>
    <w:uiPriority w:val="14"/>
    <w:semiHidden/>
    <w:unhideWhenUsed/>
    <w:rsid w:val="003B26A2"/>
    <w:pPr>
      <w:ind w:left="1985"/>
    </w:pPr>
  </w:style>
  <w:style w:type="paragraph" w:styleId="ListNumber4">
    <w:name w:val="List Number 4"/>
    <w:basedOn w:val="Normal"/>
    <w:uiPriority w:val="14"/>
    <w:semiHidden/>
    <w:unhideWhenUsed/>
    <w:rsid w:val="00ED73E5"/>
    <w:pPr>
      <w:numPr>
        <w:ilvl w:val="3"/>
        <w:numId w:val="15"/>
      </w:numPr>
    </w:pPr>
  </w:style>
  <w:style w:type="paragraph" w:styleId="ListNumber5">
    <w:name w:val="List Number 5"/>
    <w:basedOn w:val="Normal"/>
    <w:uiPriority w:val="14"/>
    <w:semiHidden/>
    <w:unhideWhenUsed/>
    <w:rsid w:val="00ED73E5"/>
    <w:pPr>
      <w:numPr>
        <w:ilvl w:val="4"/>
        <w:numId w:val="15"/>
      </w:numPr>
    </w:pPr>
  </w:style>
  <w:style w:type="paragraph" w:styleId="ListBullet5">
    <w:name w:val="List Bullet 5"/>
    <w:basedOn w:val="Normal"/>
    <w:uiPriority w:val="14"/>
    <w:semiHidden/>
    <w:unhideWhenUsed/>
    <w:rsid w:val="00ED73E5"/>
    <w:pPr>
      <w:numPr>
        <w:ilvl w:val="4"/>
        <w:numId w:val="11"/>
      </w:numPr>
    </w:pPr>
  </w:style>
  <w:style w:type="paragraph" w:styleId="List2">
    <w:name w:val="List 2"/>
    <w:basedOn w:val="Normal"/>
    <w:uiPriority w:val="14"/>
    <w:rsid w:val="00EE0C5B"/>
    <w:pPr>
      <w:ind w:left="794" w:hanging="397"/>
    </w:pPr>
  </w:style>
  <w:style w:type="paragraph" w:styleId="List">
    <w:name w:val="List"/>
    <w:basedOn w:val="Normal"/>
    <w:uiPriority w:val="14"/>
    <w:rsid w:val="00EE0C5B"/>
    <w:pPr>
      <w:ind w:left="397" w:hanging="397"/>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PwC Print">
  <a:themeElements>
    <a:clrScheme name="PwC Print Aubergine">
      <a:dk1>
        <a:srgbClr val="000000"/>
      </a:dk1>
      <a:lt1>
        <a:srgbClr val="FFFFFF"/>
      </a:lt1>
      <a:dk2>
        <a:srgbClr val="00011F"/>
      </a:dk2>
      <a:lt2>
        <a:srgbClr val="FFFFFF"/>
      </a:lt2>
      <a:accent1>
        <a:srgbClr val="A2978A"/>
      </a:accent1>
      <a:accent2>
        <a:srgbClr val="AA9F98"/>
      </a:accent2>
      <a:accent3>
        <a:srgbClr val="CCC5C1"/>
      </a:accent3>
      <a:accent4>
        <a:srgbClr val="DDD9D6"/>
      </a:accent4>
      <a:accent5>
        <a:srgbClr val="EEECEA"/>
      </a:accent5>
      <a:accent6>
        <a:srgbClr val="00011F"/>
      </a:accent6>
      <a:hlink>
        <a:srgbClr val="564242"/>
      </a:hlink>
      <a:folHlink>
        <a:srgbClr val="1B1112"/>
      </a:folHlink>
    </a:clrScheme>
    <a:fontScheme name="Pw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noFill/>
        <a:ln w="9525" cap="flat" cmpd="sng" algn="ctr">
          <a:noFill/>
          <a:prstDash val="solid"/>
          <a:round/>
          <a:headEnd type="none" w="med" len="med"/>
          <a:tailEnd type="none" w="med" len="med"/>
        </a:ln>
        <a:effectLst/>
      </a:spPr>
      <a:bodyPr vert="horz" wrap="square" lIns="63500" tIns="0" rIns="64800" bIns="0" numCol="1" anchor="t" anchorCtr="0" compatLnSpc="1">
        <a:prstTxWarp prst="textNoShape">
          <a:avLst/>
        </a:prstTxWarp>
      </a:bodyPr>
      <a:lstStyle>
        <a:defPPr marL="0" marR="0" indent="0" algn="l" defTabSz="914400" rtl="0" eaLnBrk="1" fontAlgn="base" latinLnBrk="0" hangingPunct="1">
          <a:lnSpc>
            <a:spcPct val="100000"/>
          </a:lnSpc>
          <a:spcBef>
            <a:spcPct val="20000"/>
          </a:spcBef>
          <a:spcAft>
            <a:spcPct val="20000"/>
          </a:spcAft>
          <a:buClrTx/>
          <a:buSzPct val="90000"/>
          <a:buFontTx/>
          <a:buNone/>
          <a:tabLst/>
          <a:defRPr kumimoji="0" lang="en-GB" sz="2000" b="0" i="0" u="none" strike="noStrike" cap="none" normalizeH="0" baseline="0" smtClean="0">
            <a:ln>
              <a:noFill/>
            </a:ln>
            <a:solidFill>
              <a:schemeClr val="bg2"/>
            </a:solidFill>
            <a:effectLst/>
            <a:latin typeface="Arial" charset="0"/>
            <a:cs typeface="Arial" charset="0"/>
          </a:defRPr>
        </a:defPPr>
      </a:lstStyle>
    </a:spDef>
    <a:lnDef>
      <a:spPr bwMode="auto">
        <a:xfrm>
          <a:off x="0" y="0"/>
          <a:ext cx="1" cy="1"/>
        </a:xfrm>
        <a:custGeom>
          <a:avLst/>
          <a:gdLst/>
          <a:ahLst/>
          <a:cxnLst/>
          <a:rect l="0" t="0" r="0" b="0"/>
          <a:pathLst/>
        </a:custGeom>
        <a:noFill/>
        <a:ln w="9525" cap="flat" cmpd="sng" algn="ctr">
          <a:noFill/>
          <a:prstDash val="solid"/>
          <a:round/>
          <a:headEnd type="none" w="med" len="med"/>
          <a:tailEnd type="none" w="med" len="med"/>
        </a:ln>
        <a:effectLst/>
      </a:spPr>
      <a:bodyPr vert="horz" wrap="square" lIns="63500" tIns="0" rIns="64800" bIns="0" numCol="1" anchor="t" anchorCtr="0" compatLnSpc="1">
        <a:prstTxWarp prst="textNoShape">
          <a:avLst/>
        </a:prstTxWarp>
      </a:bodyPr>
      <a:lstStyle>
        <a:defPPr marL="0" marR="0" indent="0" algn="l" defTabSz="914400" rtl="0" eaLnBrk="1" fontAlgn="base" latinLnBrk="0" hangingPunct="1">
          <a:lnSpc>
            <a:spcPct val="100000"/>
          </a:lnSpc>
          <a:spcBef>
            <a:spcPct val="20000"/>
          </a:spcBef>
          <a:spcAft>
            <a:spcPct val="20000"/>
          </a:spcAft>
          <a:buClrTx/>
          <a:buSzPct val="90000"/>
          <a:buFontTx/>
          <a:buNone/>
          <a:tabLst/>
          <a:defRPr kumimoji="0" lang="en-GB" sz="2000" b="0" i="0" u="none" strike="noStrike" cap="none" normalizeH="0" baseline="0" smtClean="0">
            <a:ln>
              <a:noFill/>
            </a:ln>
            <a:solidFill>
              <a:schemeClr val="bg2"/>
            </a:solidFill>
            <a:effectLst/>
            <a:latin typeface="Arial" charset="0"/>
            <a:cs typeface="Arial" charset="0"/>
          </a:defRPr>
        </a:defPPr>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3</Pages>
  <Words>1300</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2013-06-29T22:00:00Z</dcterms:created>
  <dcterms:modified xsi:type="dcterms:W3CDTF">2013-06-30T01:57:00Z</dcterms:modified>
</cp:coreProperties>
</file>